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C7D407B">
      <w:pPr>
        <w:pStyle w:val="13"/>
        <w:widowControl/>
        <w:rPr>
          <w:color w:val="auto"/>
          <w:highlight w:val="none"/>
        </w:rPr>
      </w:pPr>
      <w:r>
        <w:rPr>
          <w:color w:val="auto"/>
          <w:highlight w:val="none"/>
        </w:rPr>
        <w:t>南京晓庄学院</w:t>
      </w:r>
      <w:r>
        <w:rPr>
          <w:rFonts w:hint="eastAsia"/>
          <w:color w:val="auto"/>
          <w:highlight w:val="none"/>
          <w:lang w:val="en-US" w:eastAsia="zh-CN"/>
        </w:rPr>
        <w:t xml:space="preserve"> </w:t>
      </w:r>
      <w:r>
        <w:rPr>
          <w:color w:val="auto"/>
          <w:highlight w:val="none"/>
        </w:rPr>
        <w:t>非师范</w:t>
      </w:r>
      <w:r>
        <w:rPr>
          <w:rFonts w:hint="eastAsia"/>
          <w:color w:val="auto"/>
          <w:highlight w:val="none"/>
          <w:lang w:val="en-US" w:eastAsia="zh-CN"/>
        </w:rPr>
        <w:t xml:space="preserve"> </w:t>
      </w:r>
      <w:bookmarkStart w:id="0" w:name="_GoBack"/>
      <w:bookmarkEnd w:id="0"/>
      <w:r>
        <w:rPr>
          <w:color w:val="auto"/>
          <w:highlight w:val="none"/>
        </w:rPr>
        <w:t>类专业实践教育样板基地建设标准</w:t>
      </w:r>
    </w:p>
    <w:p w14:paraId="4F38083B">
      <w:pPr>
        <w:pStyle w:val="2"/>
        <w:widowControl/>
        <w:numPr>
          <w:ilvl w:val="0"/>
          <w:numId w:val="1"/>
        </w:numPr>
        <w:topLinePunct w:val="0"/>
        <w:ind w:left="0" w:leftChars="0" w:firstLine="640" w:firstLineChars="0"/>
        <w:rPr>
          <w:b w:val="0"/>
          <w:color w:val="auto"/>
          <w:highlight w:val="none"/>
        </w:rPr>
      </w:pPr>
      <w:r>
        <w:rPr>
          <w:color w:val="auto"/>
          <w:highlight w:val="none"/>
        </w:rPr>
        <w:t>核心建设标准与基本要求</w:t>
      </w:r>
    </w:p>
    <w:p w14:paraId="02C2433A">
      <w:pPr>
        <w:pStyle w:val="11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rPr>
          <w:color w:val="auto"/>
          <w:highlight w:val="none"/>
        </w:rPr>
      </w:pPr>
      <w:r>
        <w:rPr>
          <w:color w:val="auto"/>
          <w:highlight w:val="none"/>
        </w:rPr>
        <w:t>非师范类实践教育基地合作对象</w:t>
      </w:r>
      <w:r>
        <w:rPr>
          <w:rFonts w:hint="eastAsia"/>
          <w:color w:val="auto"/>
          <w:highlight w:val="none"/>
          <w:lang w:val="en-US" w:eastAsia="zh-CN"/>
        </w:rPr>
        <w:t>主要</w:t>
      </w:r>
      <w:r>
        <w:rPr>
          <w:color w:val="auto"/>
          <w:highlight w:val="none"/>
        </w:rPr>
        <w:t>为各类企业 / 行业单位，</w:t>
      </w:r>
      <w:r>
        <w:rPr>
          <w:rFonts w:hint="eastAsia"/>
          <w:color w:val="auto"/>
          <w:highlight w:val="none"/>
          <w:lang w:val="en-US" w:eastAsia="zh-CN"/>
        </w:rPr>
        <w:t>重点</w:t>
      </w:r>
      <w:r>
        <w:rPr>
          <w:color w:val="auto"/>
          <w:highlight w:val="none"/>
        </w:rPr>
        <w:t>围绕知识应用、技能提升、专业培养的实践目标建设。</w:t>
      </w:r>
    </w:p>
    <w:p w14:paraId="51C81D58">
      <w:pPr>
        <w:pStyle w:val="3"/>
        <w:widowControl/>
        <w:numPr>
          <w:ilvl w:val="0"/>
          <w:numId w:val="0"/>
        </w:numPr>
        <w:topLinePunct w:val="0"/>
        <w:ind w:left="640" w:leftChars="0"/>
        <w:rPr>
          <w:rFonts w:hint="eastAsia" w:ascii="楷体_GB2312" w:hAnsi="楷体_GB2312" w:eastAsia="楷体_GB2312" w:cs="楷体_GB2312"/>
          <w:b w:val="0"/>
          <w:color w:val="auto"/>
          <w:highlight w:val="none"/>
        </w:rPr>
      </w:pPr>
      <w:r>
        <w:rPr>
          <w:rFonts w:hint="eastAsia"/>
          <w:color w:val="auto"/>
          <w:highlight w:val="none"/>
          <w:lang w:eastAsia="zh-CN"/>
        </w:rPr>
        <w:t>（</w:t>
      </w:r>
      <w:r>
        <w:rPr>
          <w:rFonts w:hint="eastAsia"/>
          <w:color w:val="auto"/>
          <w:highlight w:val="none"/>
          <w:lang w:val="en-US" w:eastAsia="zh-CN"/>
        </w:rPr>
        <w:t>一</w:t>
      </w:r>
      <w:r>
        <w:rPr>
          <w:rFonts w:hint="eastAsia"/>
          <w:color w:val="auto"/>
          <w:highlight w:val="none"/>
          <w:lang w:eastAsia="zh-CN"/>
        </w:rPr>
        <w:t>）</w:t>
      </w:r>
      <w:r>
        <w:rPr>
          <w:color w:val="auto"/>
          <w:highlight w:val="none"/>
        </w:rPr>
        <w:t>合作单位基础标准</w:t>
      </w:r>
    </w:p>
    <w:p w14:paraId="72BF1EA5">
      <w:pPr>
        <w:pStyle w:val="11"/>
        <w:widowControl/>
        <w:numPr>
          <w:ilvl w:val="0"/>
          <w:numId w:val="2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ind w:left="0" w:leftChars="0" w:firstLine="616" w:firstLineChars="0"/>
        <w:rPr>
          <w:b w:val="0"/>
          <w:color w:val="auto"/>
          <w:highlight w:val="none"/>
        </w:rPr>
      </w:pPr>
      <w:r>
        <w:rPr>
          <w:rStyle w:val="16"/>
          <w:b/>
          <w:color w:val="auto"/>
          <w:highlight w:val="none"/>
        </w:rPr>
        <w:t>资质合规</w:t>
      </w:r>
      <w:r>
        <w:rPr>
          <w:color w:val="auto"/>
          <w:highlight w:val="none"/>
        </w:rPr>
        <w:t>：在中华人民共和国境内依法注册登记，具有独立法人资格，经营状况良好，无违法违规经营记录，未列入经营异常或失信名单，行业口碑良好。国家机关、央国企、事业单位均列入白名单。</w:t>
      </w:r>
    </w:p>
    <w:p w14:paraId="393B7376">
      <w:pPr>
        <w:pStyle w:val="11"/>
        <w:widowControl/>
        <w:numPr>
          <w:ilvl w:val="0"/>
          <w:numId w:val="2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ind w:left="0" w:leftChars="0" w:firstLine="616" w:firstLineChars="0"/>
        <w:rPr>
          <w:b w:val="0"/>
          <w:color w:val="auto"/>
          <w:highlight w:val="none"/>
        </w:rPr>
      </w:pPr>
      <w:r>
        <w:rPr>
          <w:rStyle w:val="16"/>
          <w:b/>
          <w:color w:val="auto"/>
          <w:highlight w:val="none"/>
        </w:rPr>
        <w:t>专业匹配</w:t>
      </w:r>
      <w:r>
        <w:rPr>
          <w:color w:val="auto"/>
          <w:highlight w:val="none"/>
        </w:rPr>
        <w:t>：主营业务与非师范专业培养目标高度契合，实习岗位设置紧扣专业核心能力要求，无劳务性、事务性无关工作安排，与学院制定的《实习实践教学大纲》要求一致。</w:t>
      </w:r>
    </w:p>
    <w:p w14:paraId="2AC5F6B5">
      <w:pPr>
        <w:pStyle w:val="11"/>
        <w:widowControl/>
        <w:numPr>
          <w:ilvl w:val="0"/>
          <w:numId w:val="2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ind w:left="0" w:leftChars="0" w:firstLine="616" w:firstLineChars="0"/>
        <w:rPr>
          <w:b w:val="0"/>
          <w:color w:val="auto"/>
          <w:highlight w:val="none"/>
        </w:rPr>
      </w:pPr>
      <w:r>
        <w:rPr>
          <w:rStyle w:val="16"/>
          <w:b/>
          <w:color w:val="auto"/>
          <w:highlight w:val="none"/>
        </w:rPr>
        <w:t>保障完备</w:t>
      </w:r>
      <w:r>
        <w:rPr>
          <w:color w:val="auto"/>
          <w:highlight w:val="none"/>
        </w:rPr>
        <w:t>：具备开展专业实践教学的固定场地、专业设备、</w:t>
      </w:r>
      <w:r>
        <w:rPr>
          <w:rFonts w:hint="eastAsia"/>
          <w:color w:val="auto"/>
          <w:highlight w:val="none"/>
          <w:lang w:val="en-US" w:eastAsia="zh-CN"/>
        </w:rPr>
        <w:t>实践</w:t>
      </w:r>
      <w:r>
        <w:rPr>
          <w:color w:val="auto"/>
          <w:highlight w:val="none"/>
        </w:rPr>
        <w:t>工位；为实习学生提供符合国家规定的劳动保护、安全保障条件，配合做好学生实习期间的安全</w:t>
      </w:r>
      <w:r>
        <w:rPr>
          <w:rFonts w:hint="eastAsia"/>
          <w:color w:val="auto"/>
          <w:highlight w:val="none"/>
          <w:lang w:val="en-US" w:eastAsia="zh-CN"/>
        </w:rPr>
        <w:t>管理</w:t>
      </w:r>
      <w:r>
        <w:rPr>
          <w:color w:val="auto"/>
          <w:highlight w:val="none"/>
        </w:rPr>
        <w:t>。</w:t>
      </w:r>
    </w:p>
    <w:p w14:paraId="045F485B">
      <w:pPr>
        <w:pStyle w:val="11"/>
        <w:widowControl/>
        <w:numPr>
          <w:ilvl w:val="0"/>
          <w:numId w:val="2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ind w:left="0" w:leftChars="0" w:firstLine="616" w:firstLineChars="0"/>
        <w:rPr>
          <w:b w:val="0"/>
          <w:color w:val="auto"/>
          <w:highlight w:val="none"/>
        </w:rPr>
      </w:pPr>
      <w:r>
        <w:rPr>
          <w:rStyle w:val="16"/>
          <w:b/>
          <w:color w:val="auto"/>
          <w:highlight w:val="none"/>
        </w:rPr>
        <w:t>合作稳定</w:t>
      </w:r>
      <w:r>
        <w:rPr>
          <w:color w:val="auto"/>
          <w:highlight w:val="none"/>
        </w:rPr>
        <w:t xml:space="preserve">：与学院签订正式、有效的校企合作协议，协议中明确双方的权利、义务以及管理责任，协议期限不少于 3 年，已开展常态化专业实习合作满 </w:t>
      </w:r>
      <w:r>
        <w:rPr>
          <w:rFonts w:hint="eastAsia"/>
          <w:color w:val="auto"/>
          <w:highlight w:val="none"/>
          <w:lang w:val="en-US" w:eastAsia="zh-CN"/>
        </w:rPr>
        <w:t>2</w:t>
      </w:r>
      <w:r>
        <w:rPr>
          <w:color w:val="auto"/>
          <w:highlight w:val="none"/>
        </w:rPr>
        <w:t>年及以上；无重大实习纠纷、安全事故记录，非师范专业集中实习原则上均安排在本类协议基地开展。</w:t>
      </w:r>
    </w:p>
    <w:p w14:paraId="1B3BAFC6">
      <w:pPr>
        <w:pStyle w:val="3"/>
        <w:widowControl/>
        <w:numPr>
          <w:ilvl w:val="0"/>
          <w:numId w:val="0"/>
        </w:numPr>
        <w:topLinePunct w:val="0"/>
        <w:ind w:left="640" w:leftChars="0"/>
        <w:rPr>
          <w:rFonts w:hint="eastAsia" w:ascii="楷体_GB2312" w:hAnsi="楷体_GB2312" w:eastAsia="楷体_GB2312" w:cs="楷体_GB2312"/>
          <w:b w:val="0"/>
          <w:color w:val="auto"/>
          <w:highlight w:val="none"/>
        </w:rPr>
      </w:pPr>
      <w:r>
        <w:rPr>
          <w:rFonts w:hint="eastAsia"/>
          <w:color w:val="auto"/>
          <w:highlight w:val="none"/>
          <w:lang w:eastAsia="zh-CN"/>
        </w:rPr>
        <w:t>（</w:t>
      </w:r>
      <w:r>
        <w:rPr>
          <w:rFonts w:hint="eastAsia"/>
          <w:color w:val="auto"/>
          <w:highlight w:val="none"/>
          <w:lang w:val="en-US" w:eastAsia="zh-CN"/>
        </w:rPr>
        <w:t>二</w:t>
      </w:r>
      <w:r>
        <w:rPr>
          <w:rFonts w:hint="eastAsia"/>
          <w:color w:val="auto"/>
          <w:highlight w:val="none"/>
          <w:lang w:eastAsia="zh-CN"/>
        </w:rPr>
        <w:t>）</w:t>
      </w:r>
      <w:r>
        <w:rPr>
          <w:color w:val="auto"/>
          <w:highlight w:val="none"/>
        </w:rPr>
        <w:t>校企协同建设要求</w:t>
      </w:r>
    </w:p>
    <w:p w14:paraId="33A7F0BA">
      <w:pPr>
        <w:pStyle w:val="11"/>
        <w:widowControl/>
        <w:numPr>
          <w:ilvl w:val="0"/>
          <w:numId w:val="3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ind w:left="0" w:leftChars="0" w:firstLine="616" w:firstLineChars="0"/>
        <w:rPr>
          <w:b w:val="0"/>
          <w:color w:val="auto"/>
          <w:highlight w:val="none"/>
        </w:rPr>
      </w:pPr>
      <w:r>
        <w:rPr>
          <w:rStyle w:val="16"/>
          <w:b/>
          <w:color w:val="auto"/>
          <w:highlight w:val="none"/>
        </w:rPr>
        <w:t>共建培养体系</w:t>
      </w:r>
      <w:r>
        <w:rPr>
          <w:color w:val="auto"/>
          <w:highlight w:val="none"/>
        </w:rPr>
        <w:t>：校企双方联合修订非师范专业人才培养方案</w:t>
      </w:r>
      <w:r>
        <w:rPr>
          <w:rFonts w:hint="eastAsia"/>
          <w:color w:val="auto"/>
          <w:highlight w:val="none"/>
          <w:lang w:val="en-US" w:eastAsia="zh-CN"/>
        </w:rPr>
        <w:t>与实习实践方案</w:t>
      </w:r>
      <w:r>
        <w:rPr>
          <w:color w:val="auto"/>
          <w:highlight w:val="none"/>
        </w:rPr>
        <w:t>，共同开发实习课程、实训项目、实习指导手册，将行业标准、岗位要求融入实践教学内容。</w:t>
      </w:r>
    </w:p>
    <w:p w14:paraId="2B459579">
      <w:pPr>
        <w:pStyle w:val="11"/>
        <w:widowControl/>
        <w:numPr>
          <w:ilvl w:val="0"/>
          <w:numId w:val="3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ind w:left="0" w:leftChars="0" w:firstLine="616" w:firstLineChars="0"/>
        <w:rPr>
          <w:b w:val="0"/>
          <w:color w:val="auto"/>
          <w:highlight w:val="none"/>
        </w:rPr>
      </w:pPr>
      <w:r>
        <w:rPr>
          <w:rStyle w:val="16"/>
          <w:rFonts w:hint="eastAsia"/>
          <w:b/>
          <w:color w:val="auto"/>
          <w:highlight w:val="none"/>
          <w:lang w:val="en-US" w:eastAsia="zh-CN"/>
        </w:rPr>
        <w:t>双导师机制</w:t>
      </w:r>
      <w:r>
        <w:rPr>
          <w:color w:val="auto"/>
          <w:highlight w:val="none"/>
        </w:rPr>
        <w:t>：</w:t>
      </w:r>
      <w:r>
        <w:rPr>
          <w:rFonts w:hint="eastAsia"/>
          <w:color w:val="auto"/>
          <w:highlight w:val="none"/>
          <w:lang w:val="en-US" w:eastAsia="zh-CN"/>
        </w:rPr>
        <w:t>校内指导教师</w:t>
      </w:r>
      <w:r>
        <w:rPr>
          <w:color w:val="auto"/>
          <w:highlight w:val="none"/>
        </w:rPr>
        <w:t>由学院遴选教学经验丰富、对实习实践内容较熟悉、有一定组织领导能力的教师担任，毕业实习每位指导教师指导学生原则上不超过 15 人。</w:t>
      </w:r>
      <w:r>
        <w:rPr>
          <w:rFonts w:hint="eastAsia"/>
          <w:color w:val="auto"/>
          <w:highlight w:val="none"/>
          <w:lang w:val="en-US" w:eastAsia="zh-CN"/>
        </w:rPr>
        <w:t>校外指导教师</w:t>
      </w:r>
      <w:r>
        <w:rPr>
          <w:color w:val="auto"/>
          <w:highlight w:val="none"/>
        </w:rPr>
        <w:t>由合作单位遴选品行端正、业务优秀的技术骨干、管理人才担任。</w:t>
      </w:r>
    </w:p>
    <w:p w14:paraId="2AD70EC5">
      <w:pPr>
        <w:pStyle w:val="11"/>
        <w:widowControl/>
        <w:numPr>
          <w:ilvl w:val="0"/>
          <w:numId w:val="3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ind w:left="0" w:leftChars="0" w:firstLine="616" w:firstLineChars="0"/>
        <w:rPr>
          <w:b w:val="0"/>
          <w:color w:val="auto"/>
          <w:highlight w:val="none"/>
        </w:rPr>
      </w:pPr>
      <w:r>
        <w:rPr>
          <w:rStyle w:val="16"/>
          <w:b/>
          <w:color w:val="auto"/>
          <w:highlight w:val="none"/>
        </w:rPr>
        <w:t>共建管理机制</w:t>
      </w:r>
      <w:r>
        <w:rPr>
          <w:color w:val="auto"/>
          <w:highlight w:val="none"/>
        </w:rPr>
        <w:t>：校企双方需明确双方职责分工；制定完善的实习学生管理、过程监控、考核评价、安全管理等制度；建立常态化校企对接沟通机制（每学期至少召开 1 次协同会议）。</w:t>
      </w:r>
    </w:p>
    <w:p w14:paraId="34F7F675">
      <w:pPr>
        <w:pStyle w:val="11"/>
        <w:widowControl/>
        <w:numPr>
          <w:ilvl w:val="0"/>
          <w:numId w:val="3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ind w:left="0" w:leftChars="0" w:firstLine="616" w:firstLineChars="0"/>
        <w:rPr>
          <w:b w:val="0"/>
          <w:color w:val="auto"/>
          <w:highlight w:val="none"/>
        </w:rPr>
      </w:pPr>
      <w:r>
        <w:rPr>
          <w:rStyle w:val="16"/>
          <w:b/>
          <w:color w:val="auto"/>
          <w:highlight w:val="none"/>
        </w:rPr>
        <w:t>共建成果转化平台</w:t>
      </w:r>
      <w:r>
        <w:rPr>
          <w:color w:val="auto"/>
          <w:highlight w:val="none"/>
        </w:rPr>
        <w:t>：结合专业特点与企业需求，联合开展教学改革研究、科研项目攻关、创新创业实践等活动，推动校企合作成果向教学、生产实际转化；合作成果作为学院实习实践总结的重要内容，纳入学校实习实践质量评价体系。</w:t>
      </w:r>
    </w:p>
    <w:p w14:paraId="71745FB8">
      <w:pPr>
        <w:pStyle w:val="3"/>
        <w:widowControl/>
        <w:numPr>
          <w:ilvl w:val="0"/>
          <w:numId w:val="0"/>
        </w:numPr>
        <w:topLinePunct w:val="0"/>
        <w:ind w:left="640" w:leftChars="0"/>
        <w:rPr>
          <w:rFonts w:hint="eastAsia" w:ascii="楷体_GB2312" w:hAnsi="楷体_GB2312" w:eastAsia="楷体_GB2312" w:cs="楷体_GB2312"/>
          <w:b w:val="0"/>
          <w:color w:val="auto"/>
          <w:highlight w:val="none"/>
        </w:rPr>
      </w:pPr>
      <w:r>
        <w:rPr>
          <w:rFonts w:hint="eastAsia"/>
          <w:color w:val="auto"/>
          <w:highlight w:val="none"/>
          <w:lang w:eastAsia="zh-CN"/>
        </w:rPr>
        <w:t>（</w:t>
      </w:r>
      <w:r>
        <w:rPr>
          <w:rFonts w:hint="eastAsia"/>
          <w:color w:val="auto"/>
          <w:highlight w:val="none"/>
          <w:lang w:val="en-US" w:eastAsia="zh-CN"/>
        </w:rPr>
        <w:t>三</w:t>
      </w:r>
      <w:r>
        <w:rPr>
          <w:rFonts w:hint="eastAsia"/>
          <w:color w:val="auto"/>
          <w:highlight w:val="none"/>
          <w:lang w:eastAsia="zh-CN"/>
        </w:rPr>
        <w:t>）</w:t>
      </w:r>
      <w:r>
        <w:rPr>
          <w:color w:val="auto"/>
          <w:highlight w:val="none"/>
        </w:rPr>
        <w:t>实践教学实施要求</w:t>
      </w:r>
    </w:p>
    <w:p w14:paraId="4B3416AC">
      <w:pPr>
        <w:pStyle w:val="11"/>
        <w:widowControl/>
        <w:numPr>
          <w:ilvl w:val="0"/>
          <w:numId w:val="4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ind w:left="0" w:leftChars="0" w:firstLine="616" w:firstLineChars="0"/>
        <w:rPr>
          <w:b w:val="0"/>
          <w:color w:val="auto"/>
          <w:highlight w:val="none"/>
        </w:rPr>
      </w:pPr>
      <w:r>
        <w:rPr>
          <w:rStyle w:val="16"/>
          <w:b/>
          <w:color w:val="auto"/>
          <w:highlight w:val="none"/>
        </w:rPr>
        <w:t>实习计划规范</w:t>
      </w:r>
      <w:r>
        <w:rPr>
          <w:color w:val="auto"/>
          <w:highlight w:val="none"/>
        </w:rPr>
        <w:t>：依据学院《实习实践教学大纲》制定</w:t>
      </w:r>
      <w:r>
        <w:rPr>
          <w:rFonts w:hint="eastAsia"/>
          <w:color w:val="auto"/>
          <w:highlight w:val="none"/>
          <w:lang w:val="en-US" w:eastAsia="zh-CN"/>
        </w:rPr>
        <w:t>实习</w:t>
      </w:r>
      <w:r>
        <w:rPr>
          <w:color w:val="auto"/>
          <w:highlight w:val="none"/>
        </w:rPr>
        <w:t>计划，明确实习目标、内容、时长、考核标准，</w:t>
      </w:r>
      <w:r>
        <w:rPr>
          <w:rFonts w:hint="eastAsia"/>
          <w:color w:val="auto"/>
          <w:highlight w:val="none"/>
          <w:lang w:val="en-US" w:eastAsia="zh-CN"/>
        </w:rPr>
        <w:t>实习</w:t>
      </w:r>
      <w:r>
        <w:rPr>
          <w:color w:val="auto"/>
          <w:highlight w:val="none"/>
        </w:rPr>
        <w:t>计划</w:t>
      </w:r>
      <w:r>
        <w:rPr>
          <w:rFonts w:hint="eastAsia"/>
          <w:color w:val="auto"/>
          <w:highlight w:val="none"/>
          <w:lang w:val="en-US" w:eastAsia="zh-CN"/>
        </w:rPr>
        <w:t>须告知协议基地单位</w:t>
      </w:r>
      <w:r>
        <w:rPr>
          <w:color w:val="auto"/>
          <w:highlight w:val="none"/>
        </w:rPr>
        <w:t>。</w:t>
      </w:r>
    </w:p>
    <w:p w14:paraId="0305C28F">
      <w:pPr>
        <w:pStyle w:val="11"/>
        <w:widowControl/>
        <w:numPr>
          <w:ilvl w:val="0"/>
          <w:numId w:val="4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ind w:left="0" w:leftChars="0" w:firstLine="616" w:firstLineChars="0"/>
        <w:rPr>
          <w:b w:val="0"/>
          <w:color w:val="auto"/>
          <w:highlight w:val="none"/>
        </w:rPr>
      </w:pPr>
      <w:r>
        <w:rPr>
          <w:rStyle w:val="16"/>
          <w:b/>
          <w:color w:val="auto"/>
          <w:highlight w:val="none"/>
        </w:rPr>
        <w:t>实习时长保障</w:t>
      </w:r>
      <w:r>
        <w:rPr>
          <w:color w:val="auto"/>
          <w:highlight w:val="none"/>
        </w:rPr>
        <w:t>：实习时长严格按照各专业人才培养方案确定的进程安排执行，</w:t>
      </w:r>
      <w:r>
        <w:rPr>
          <w:rFonts w:hint="eastAsia"/>
          <w:color w:val="auto"/>
          <w:highlight w:val="none"/>
          <w:lang w:val="en-US" w:eastAsia="zh-CN"/>
        </w:rPr>
        <w:t>须与协议基地单位达成一致</w:t>
      </w:r>
      <w:r>
        <w:rPr>
          <w:color w:val="auto"/>
          <w:highlight w:val="none"/>
        </w:rPr>
        <w:t>。</w:t>
      </w:r>
    </w:p>
    <w:p w14:paraId="6EBEA7C4">
      <w:pPr>
        <w:pStyle w:val="11"/>
        <w:widowControl/>
        <w:numPr>
          <w:ilvl w:val="0"/>
          <w:numId w:val="4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ind w:left="0" w:leftChars="0" w:firstLine="616" w:firstLineChars="0"/>
        <w:rPr>
          <w:b w:val="0"/>
          <w:color w:val="auto"/>
          <w:highlight w:val="none"/>
        </w:rPr>
      </w:pPr>
      <w:r>
        <w:rPr>
          <w:rStyle w:val="16"/>
          <w:b/>
          <w:color w:val="auto"/>
          <w:highlight w:val="none"/>
        </w:rPr>
        <w:t>过程管理到位</w:t>
      </w:r>
      <w:r>
        <w:rPr>
          <w:color w:val="auto"/>
          <w:highlight w:val="none"/>
        </w:rPr>
        <w:t>：学院每学期至少开展 1 次基地实地检查，及时解决实习过程中的问题，做好检查记录。</w:t>
      </w:r>
    </w:p>
    <w:p w14:paraId="0B39AA3C">
      <w:pPr>
        <w:pStyle w:val="11"/>
        <w:widowControl/>
        <w:numPr>
          <w:ilvl w:val="0"/>
          <w:numId w:val="4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ind w:left="0" w:leftChars="0" w:firstLine="616" w:firstLineChars="0"/>
        <w:rPr>
          <w:b w:val="0"/>
          <w:color w:val="auto"/>
          <w:highlight w:val="none"/>
        </w:rPr>
      </w:pPr>
      <w:r>
        <w:rPr>
          <w:rStyle w:val="16"/>
          <w:b/>
          <w:color w:val="auto"/>
          <w:highlight w:val="none"/>
        </w:rPr>
        <w:t>考核评价科学</w:t>
      </w:r>
      <w:r>
        <w:rPr>
          <w:color w:val="auto"/>
          <w:highlight w:val="none"/>
        </w:rPr>
        <w:t>：严格执行非师范专业实习考核评价标准，建立实习单位、学生自我评价、学院指导教师、考勤的考核体系，采用百分制记载，对应优秀（85-100 分）、良好（70-84 分）、及格（60-69 分）、不及格（59 分及以下）四个等第，考核结果录入学校实习实践信息管理平台，在学生成绩单中体现；具体权重：实习单位评价 60%（其中指导教师评价 50%）、自我评价 15%、学院指导教师 20%、考勤 5%。</w:t>
      </w:r>
    </w:p>
    <w:p w14:paraId="23AF07CA">
      <w:pPr>
        <w:pStyle w:val="11"/>
        <w:widowControl/>
        <w:numPr>
          <w:ilvl w:val="0"/>
          <w:numId w:val="4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ind w:left="0" w:leftChars="0" w:firstLine="616" w:firstLineChars="0"/>
        <w:rPr>
          <w:b w:val="0"/>
          <w:color w:val="auto"/>
          <w:highlight w:val="none"/>
        </w:rPr>
      </w:pPr>
      <w:r>
        <w:rPr>
          <w:rStyle w:val="16"/>
          <w:b/>
          <w:color w:val="auto"/>
          <w:highlight w:val="none"/>
        </w:rPr>
        <w:t>实习成效显著</w:t>
      </w:r>
      <w:r>
        <w:rPr>
          <w:color w:val="auto"/>
          <w:highlight w:val="none"/>
        </w:rPr>
        <w:t>：实习学生岗位胜任力提升明显，年度实习考核合格率不低于 95%；基地成为学院对应专业重要就业输送渠道，企业对实习学生评价满意度不低于 90%。</w:t>
      </w:r>
    </w:p>
    <w:p w14:paraId="0C84837B">
      <w:pPr>
        <w:pStyle w:val="3"/>
        <w:widowControl/>
        <w:numPr>
          <w:ilvl w:val="0"/>
          <w:numId w:val="0"/>
        </w:numPr>
        <w:topLinePunct w:val="0"/>
        <w:ind w:left="640" w:leftChars="0"/>
        <w:rPr>
          <w:rFonts w:hint="eastAsia" w:ascii="楷体_GB2312" w:hAnsi="楷体_GB2312" w:eastAsia="楷体_GB2312" w:cs="楷体_GB2312"/>
          <w:b w:val="0"/>
          <w:color w:val="auto"/>
          <w:highlight w:val="none"/>
        </w:rPr>
      </w:pPr>
      <w:r>
        <w:rPr>
          <w:rFonts w:hint="eastAsia"/>
          <w:color w:val="auto"/>
          <w:highlight w:val="none"/>
          <w:lang w:eastAsia="zh-CN"/>
        </w:rPr>
        <w:t>（</w:t>
      </w:r>
      <w:r>
        <w:rPr>
          <w:rFonts w:hint="eastAsia"/>
          <w:color w:val="auto"/>
          <w:highlight w:val="none"/>
          <w:lang w:val="en-US" w:eastAsia="zh-CN"/>
        </w:rPr>
        <w:t>四</w:t>
      </w:r>
      <w:r>
        <w:rPr>
          <w:rFonts w:hint="eastAsia"/>
          <w:color w:val="auto"/>
          <w:highlight w:val="none"/>
          <w:lang w:eastAsia="zh-CN"/>
        </w:rPr>
        <w:t>）</w:t>
      </w:r>
      <w:r>
        <w:rPr>
          <w:color w:val="auto"/>
          <w:highlight w:val="none"/>
        </w:rPr>
        <w:t>基地日常管理要求</w:t>
      </w:r>
    </w:p>
    <w:p w14:paraId="6D553729">
      <w:pPr>
        <w:pStyle w:val="11"/>
        <w:widowControl/>
        <w:numPr>
          <w:ilvl w:val="0"/>
          <w:numId w:val="5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ind w:left="0" w:leftChars="0" w:firstLine="616" w:firstLineChars="0"/>
        <w:rPr>
          <w:b w:val="0"/>
          <w:color w:val="auto"/>
          <w:highlight w:val="none"/>
        </w:rPr>
      </w:pPr>
      <w:r>
        <w:rPr>
          <w:rStyle w:val="16"/>
          <w:b/>
          <w:color w:val="auto"/>
          <w:highlight w:val="none"/>
        </w:rPr>
        <w:t>档案管理规范</w:t>
      </w:r>
      <w:r>
        <w:rPr>
          <w:color w:val="auto"/>
          <w:highlight w:val="none"/>
        </w:rPr>
        <w:t>：</w:t>
      </w:r>
      <w:r>
        <w:rPr>
          <w:rFonts w:hint="eastAsia"/>
          <w:color w:val="auto"/>
          <w:highlight w:val="none"/>
          <w:lang w:val="en-US" w:eastAsia="zh-CN"/>
        </w:rPr>
        <w:t>学院</w:t>
      </w:r>
      <w:r>
        <w:rPr>
          <w:color w:val="auto"/>
          <w:highlight w:val="none"/>
        </w:rPr>
        <w:t>建立基地建设与运行档案，专人负责管理，档案内容包括校企合作协议（</w:t>
      </w:r>
      <w:r>
        <w:rPr>
          <w:rFonts w:hint="eastAsia"/>
          <w:color w:val="auto"/>
          <w:highlight w:val="none"/>
          <w:lang w:val="en-US" w:eastAsia="zh-CN"/>
        </w:rPr>
        <w:t>或</w:t>
      </w:r>
      <w:r>
        <w:rPr>
          <w:color w:val="auto"/>
          <w:highlight w:val="none"/>
        </w:rPr>
        <w:t>三方协议）、实习实践方案、实习计划、学生实习资料、考核记录、校企沟通记录、基地建设经费使用记录等；档案资料完整、可追溯；野外实习和考察的专项资料单独建档管理。</w:t>
      </w:r>
    </w:p>
    <w:p w14:paraId="39C058A4">
      <w:pPr>
        <w:pStyle w:val="11"/>
        <w:widowControl/>
        <w:numPr>
          <w:ilvl w:val="0"/>
          <w:numId w:val="5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ind w:left="0" w:leftChars="0" w:firstLine="616" w:firstLineChars="0"/>
        <w:rPr>
          <w:b w:val="0"/>
          <w:color w:val="auto"/>
          <w:highlight w:val="none"/>
        </w:rPr>
      </w:pPr>
      <w:r>
        <w:rPr>
          <w:rStyle w:val="16"/>
          <w:b/>
          <w:color w:val="auto"/>
          <w:highlight w:val="none"/>
        </w:rPr>
        <w:t>安全管理严格</w:t>
      </w:r>
      <w:r>
        <w:rPr>
          <w:color w:val="auto"/>
          <w:highlight w:val="none"/>
        </w:rPr>
        <w:t>：学院在实习前对学生开展全覆盖安全培训（动员会）；基地定期开展安全隐患排查，及时整改问题；学院为所有实习师生统一购买人身意外伤害险；学生实习期间请假超过</w:t>
      </w:r>
      <w:r>
        <w:rPr>
          <w:rFonts w:hint="eastAsia"/>
          <w:color w:val="auto"/>
          <w:highlight w:val="none"/>
          <w:lang w:val="en-US" w:eastAsia="zh-CN"/>
        </w:rPr>
        <w:t>1</w:t>
      </w:r>
      <w:r>
        <w:rPr>
          <w:color w:val="auto"/>
          <w:highlight w:val="none"/>
        </w:rPr>
        <w:t>天者，须经校内指导教师、基地负责人和学院领导批准。</w:t>
      </w:r>
    </w:p>
    <w:p w14:paraId="46A6F111">
      <w:pPr>
        <w:pStyle w:val="11"/>
        <w:widowControl/>
        <w:numPr>
          <w:ilvl w:val="0"/>
          <w:numId w:val="5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ind w:left="0" w:leftChars="0" w:firstLine="616" w:firstLineChars="0"/>
        <w:rPr>
          <w:b w:val="0"/>
          <w:color w:val="auto"/>
          <w:highlight w:val="none"/>
        </w:rPr>
      </w:pPr>
      <w:r>
        <w:rPr>
          <w:rStyle w:val="16"/>
          <w:b/>
          <w:color w:val="auto"/>
          <w:highlight w:val="none"/>
        </w:rPr>
        <w:t>建设经费专款专用</w:t>
      </w:r>
      <w:r>
        <w:rPr>
          <w:color w:val="auto"/>
          <w:highlight w:val="none"/>
        </w:rPr>
        <w:t>：基地建设经费严格按照《南京晓庄学院实践教学经费使用与管理办法》执行，本着节约原则专款专用，主要用于实习课程开发、师资培训、教材建设、基地软硬件完善等；野外实习和考察经费遵循就近安排、高性价比原则使用，经费使用记录清晰、合规。</w:t>
      </w:r>
    </w:p>
    <w:p w14:paraId="61430D07">
      <w:pPr>
        <w:pStyle w:val="11"/>
        <w:widowControl/>
        <w:numPr>
          <w:ilvl w:val="0"/>
          <w:numId w:val="5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ind w:left="0" w:leftChars="0" w:firstLine="616" w:firstLineChars="0"/>
        <w:rPr>
          <w:b w:val="0"/>
          <w:color w:val="auto"/>
          <w:highlight w:val="none"/>
        </w:rPr>
      </w:pPr>
      <w:r>
        <w:rPr>
          <w:rStyle w:val="16"/>
          <w:b/>
          <w:color w:val="auto"/>
          <w:highlight w:val="none"/>
        </w:rPr>
        <w:t>示范作用明显</w:t>
      </w:r>
      <w:r>
        <w:rPr>
          <w:color w:val="auto"/>
          <w:highlight w:val="none"/>
        </w:rPr>
        <w:t>：基地建设模式具有可复制性，能为学院其他非师范类实践教育基地建设提供参考；积极配合学校、学院开展实践教学改革与研究，主动参与学校组织的基地交流活动；基地实习成效作为</w:t>
      </w:r>
      <w:r>
        <w:rPr>
          <w:rFonts w:hint="eastAsia"/>
          <w:color w:val="auto"/>
          <w:highlight w:val="none"/>
          <w:lang w:val="en-US" w:eastAsia="zh-CN"/>
        </w:rPr>
        <w:t>校级</w:t>
      </w:r>
      <w:r>
        <w:rPr>
          <w:color w:val="auto"/>
          <w:highlight w:val="none"/>
        </w:rPr>
        <w:t>优秀实习生、优秀指导教师评选的重要参考。</w:t>
      </w:r>
    </w:p>
    <w:p w14:paraId="3D71C4EB">
      <w:pPr>
        <w:pStyle w:val="2"/>
        <w:widowControl/>
        <w:numPr>
          <w:ilvl w:val="0"/>
          <w:numId w:val="0"/>
        </w:numPr>
        <w:topLinePunct w:val="0"/>
        <w:ind w:left="640" w:leftChars="0"/>
        <w:rPr>
          <w:b w:val="0"/>
          <w:color w:val="auto"/>
          <w:highlight w:val="none"/>
        </w:rPr>
      </w:pPr>
      <w:r>
        <w:rPr>
          <w:rFonts w:hint="eastAsia"/>
          <w:color w:val="auto"/>
          <w:highlight w:val="none"/>
          <w:lang w:val="en-US" w:eastAsia="zh-CN"/>
        </w:rPr>
        <w:t>二、</w:t>
      </w:r>
      <w:r>
        <w:rPr>
          <w:color w:val="auto"/>
          <w:highlight w:val="none"/>
        </w:rPr>
        <w:t>评比指标体系（总分 100 分）</w:t>
      </w:r>
    </w:p>
    <w:p w14:paraId="07E40733">
      <w:pPr>
        <w:pStyle w:val="11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rPr>
          <w:color w:val="auto"/>
          <w:highlight w:val="none"/>
        </w:rPr>
      </w:pPr>
      <w:r>
        <w:rPr>
          <w:color w:val="auto"/>
          <w:highlight w:val="none"/>
        </w:rPr>
        <w:t>本指标体系分合作基础与保障、校企协同建设、实践教学实施、基地管理与成效、示范引领与特色五个方向组成，设置一票否决项，所有评分标准均贴合非师范生实习实践管理规定，评分需提供佐证材料，无佐证材料不得分。</w:t>
      </w:r>
    </w:p>
    <w:p w14:paraId="31E769DA">
      <w:pPr>
        <w:pStyle w:val="2"/>
        <w:widowControl/>
        <w:rPr>
          <w:color w:val="auto"/>
          <w:highlight w:val="none"/>
        </w:rPr>
      </w:pPr>
      <w:r>
        <w:rPr>
          <w:color w:val="auto"/>
          <w:highlight w:val="none"/>
        </w:rPr>
        <w:t>一票否决项（有下列情形之一，直接取消评比资格）</w:t>
      </w:r>
    </w:p>
    <w:p w14:paraId="123B5D59">
      <w:pPr>
        <w:pStyle w:val="11"/>
        <w:widowControl/>
        <w:numPr>
          <w:ilvl w:val="0"/>
          <w:numId w:val="6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ind w:left="0" w:leftChars="0" w:firstLine="616" w:firstLineChars="0"/>
        <w:rPr>
          <w:b w:val="0"/>
          <w:color w:val="auto"/>
          <w:highlight w:val="none"/>
        </w:rPr>
      </w:pPr>
      <w:r>
        <w:rPr>
          <w:color w:val="auto"/>
          <w:highlight w:val="none"/>
        </w:rPr>
        <w:t>合作单位存在违法违规经营行为，处于经营异常或失信名单的；</w:t>
      </w:r>
    </w:p>
    <w:p w14:paraId="6217E96D">
      <w:pPr>
        <w:pStyle w:val="11"/>
        <w:widowControl/>
        <w:numPr>
          <w:ilvl w:val="0"/>
          <w:numId w:val="6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ind w:left="0" w:leftChars="0" w:firstLine="616" w:firstLineChars="0"/>
        <w:rPr>
          <w:b w:val="0"/>
          <w:color w:val="auto"/>
          <w:highlight w:val="none"/>
        </w:rPr>
      </w:pPr>
      <w:r>
        <w:rPr>
          <w:color w:val="auto"/>
          <w:highlight w:val="none"/>
        </w:rPr>
        <w:t>合作期间发生重大实习安全责任事故、学生合法权益受损事件，造成不良影响的；</w:t>
      </w:r>
    </w:p>
    <w:p w14:paraId="05ADED35">
      <w:pPr>
        <w:pStyle w:val="11"/>
        <w:widowControl/>
        <w:numPr>
          <w:ilvl w:val="0"/>
          <w:numId w:val="6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ind w:left="0" w:leftChars="0" w:firstLine="616" w:firstLineChars="0"/>
        <w:rPr>
          <w:b w:val="0"/>
          <w:color w:val="auto"/>
          <w:highlight w:val="none"/>
        </w:rPr>
      </w:pPr>
      <w:r>
        <w:rPr>
          <w:color w:val="auto"/>
          <w:highlight w:val="none"/>
        </w:rPr>
        <w:t>实习岗位与专业培养目标严重脱节，大量安排劳务性、事务性无关工作的；</w:t>
      </w:r>
    </w:p>
    <w:p w14:paraId="153F9A11">
      <w:pPr>
        <w:pStyle w:val="11"/>
        <w:widowControl/>
        <w:numPr>
          <w:ilvl w:val="0"/>
          <w:numId w:val="6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ind w:left="0" w:leftChars="0" w:firstLine="616" w:firstLineChars="0"/>
        <w:rPr>
          <w:b w:val="0"/>
          <w:color w:val="auto"/>
          <w:highlight w:val="none"/>
        </w:rPr>
      </w:pPr>
      <w:r>
        <w:rPr>
          <w:color w:val="auto"/>
          <w:highlight w:val="none"/>
        </w:rPr>
        <w:t>申报与评比材料存在弄虚作假、瞒报漏报等行为的；</w:t>
      </w:r>
    </w:p>
    <w:p w14:paraId="036FFD0C">
      <w:pPr>
        <w:pStyle w:val="11"/>
        <w:widowControl/>
        <w:numPr>
          <w:ilvl w:val="0"/>
          <w:numId w:val="6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ind w:left="0" w:leftChars="0" w:firstLine="616" w:firstLineChars="0"/>
        <w:rPr>
          <w:b w:val="0"/>
          <w:color w:val="auto"/>
          <w:highlight w:val="none"/>
        </w:rPr>
      </w:pPr>
      <w:r>
        <w:rPr>
          <w:color w:val="auto"/>
          <w:highlight w:val="none"/>
        </w:rPr>
        <w:t>未按学校规定完成实习教学任务，或年度实习考核合格率低于 80% 的；</w:t>
      </w:r>
    </w:p>
    <w:p w14:paraId="7300D439">
      <w:pPr>
        <w:pStyle w:val="11"/>
        <w:widowControl/>
        <w:numPr>
          <w:ilvl w:val="0"/>
          <w:numId w:val="6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ind w:left="0" w:leftChars="0" w:firstLine="616" w:firstLineChars="0"/>
        <w:rPr>
          <w:b w:val="0"/>
          <w:color w:val="auto"/>
          <w:highlight w:val="none"/>
        </w:rPr>
      </w:pPr>
      <w:r>
        <w:rPr>
          <w:color w:val="auto"/>
          <w:highlight w:val="none"/>
        </w:rPr>
        <w:t>基地建设经费使用存在违规违纪行为的；</w:t>
      </w:r>
    </w:p>
    <w:p w14:paraId="75109164">
      <w:pPr>
        <w:pStyle w:val="11"/>
        <w:widowControl/>
        <w:numPr>
          <w:ilvl w:val="0"/>
          <w:numId w:val="6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ind w:left="0" w:leftChars="0" w:firstLine="616" w:firstLineChars="0"/>
        <w:rPr>
          <w:b w:val="0"/>
          <w:color w:val="auto"/>
          <w:highlight w:val="none"/>
        </w:rPr>
      </w:pPr>
      <w:r>
        <w:rPr>
          <w:color w:val="auto"/>
          <w:highlight w:val="none"/>
        </w:rPr>
        <w:t>未配合学院执行实习学生请假备案、安全培训、人身意外伤害险购买等学校统一要求的；</w:t>
      </w:r>
    </w:p>
    <w:p w14:paraId="69927066">
      <w:pPr>
        <w:pStyle w:val="11"/>
        <w:widowControl/>
        <w:numPr>
          <w:ilvl w:val="0"/>
          <w:numId w:val="0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topLinePunct w:val="0"/>
        <w:spacing w:line="560" w:lineRule="exact"/>
        <w:jc w:val="both"/>
        <w:outlineLvl w:val="9"/>
        <w:rPr>
          <w:color w:val="auto"/>
          <w:highlight w:val="none"/>
        </w:rPr>
      </w:pPr>
    </w:p>
    <w:p w14:paraId="00E3D262">
      <w:pPr>
        <w:pStyle w:val="11"/>
        <w:widowControl/>
        <w:numPr>
          <w:ilvl w:val="0"/>
          <w:numId w:val="0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topLinePunct w:val="0"/>
        <w:spacing w:line="560" w:lineRule="exact"/>
        <w:jc w:val="both"/>
        <w:outlineLvl w:val="9"/>
        <w:rPr>
          <w:color w:val="auto"/>
          <w:highlight w:val="none"/>
        </w:rPr>
      </w:pPr>
    </w:p>
    <w:p w14:paraId="03B98B41">
      <w:pPr>
        <w:pStyle w:val="11"/>
        <w:widowControl/>
        <w:numPr>
          <w:ilvl w:val="0"/>
          <w:numId w:val="0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topLinePunct w:val="0"/>
        <w:spacing w:line="560" w:lineRule="exact"/>
        <w:jc w:val="both"/>
        <w:outlineLvl w:val="9"/>
        <w:rPr>
          <w:color w:val="auto"/>
          <w:highlight w:val="none"/>
        </w:rPr>
      </w:pPr>
    </w:p>
    <w:p w14:paraId="50530D33">
      <w:pPr>
        <w:pStyle w:val="11"/>
        <w:widowControl/>
        <w:numPr>
          <w:ilvl w:val="0"/>
          <w:numId w:val="0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topLinePunct w:val="0"/>
        <w:spacing w:line="560" w:lineRule="exact"/>
        <w:jc w:val="both"/>
        <w:outlineLvl w:val="9"/>
        <w:rPr>
          <w:color w:val="auto"/>
          <w:highlight w:val="none"/>
        </w:rPr>
      </w:pPr>
    </w:p>
    <w:p w14:paraId="09BADE55">
      <w:pPr>
        <w:pStyle w:val="11"/>
        <w:widowControl/>
        <w:numPr>
          <w:ilvl w:val="0"/>
          <w:numId w:val="0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topLinePunct w:val="0"/>
        <w:spacing w:line="560" w:lineRule="exact"/>
        <w:jc w:val="both"/>
        <w:outlineLvl w:val="9"/>
        <w:rPr>
          <w:color w:val="auto"/>
          <w:highlight w:val="none"/>
        </w:rPr>
      </w:pPr>
    </w:p>
    <w:p w14:paraId="7264F808">
      <w:pPr>
        <w:pStyle w:val="11"/>
        <w:widowControl/>
        <w:numPr>
          <w:ilvl w:val="0"/>
          <w:numId w:val="0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topLinePunct w:val="0"/>
        <w:spacing w:line="560" w:lineRule="exact"/>
        <w:jc w:val="both"/>
        <w:outlineLvl w:val="9"/>
        <w:rPr>
          <w:color w:val="auto"/>
          <w:highlight w:val="none"/>
        </w:rPr>
      </w:pPr>
    </w:p>
    <w:p w14:paraId="6D5ED794">
      <w:pPr>
        <w:pStyle w:val="11"/>
        <w:widowControl/>
        <w:numPr>
          <w:ilvl w:val="0"/>
          <w:numId w:val="0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topLinePunct w:val="0"/>
        <w:spacing w:line="560" w:lineRule="exact"/>
        <w:jc w:val="both"/>
        <w:outlineLvl w:val="9"/>
        <w:rPr>
          <w:color w:val="auto"/>
          <w:highlight w:val="none"/>
        </w:rPr>
      </w:pPr>
    </w:p>
    <w:p w14:paraId="3A1833C5">
      <w:pPr>
        <w:pStyle w:val="11"/>
        <w:widowControl/>
        <w:numPr>
          <w:ilvl w:val="0"/>
          <w:numId w:val="0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topLinePunct w:val="0"/>
        <w:spacing w:line="560" w:lineRule="exact"/>
        <w:jc w:val="both"/>
        <w:outlineLvl w:val="9"/>
        <w:rPr>
          <w:color w:val="auto"/>
          <w:highlight w:val="none"/>
        </w:rPr>
      </w:pPr>
    </w:p>
    <w:p w14:paraId="0EFEB3BA">
      <w:pPr>
        <w:pStyle w:val="11"/>
        <w:widowControl/>
        <w:numPr>
          <w:ilvl w:val="0"/>
          <w:numId w:val="0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topLinePunct w:val="0"/>
        <w:spacing w:line="560" w:lineRule="exact"/>
        <w:jc w:val="both"/>
        <w:outlineLvl w:val="9"/>
        <w:rPr>
          <w:color w:val="auto"/>
          <w:highlight w:val="none"/>
        </w:rPr>
      </w:pPr>
    </w:p>
    <w:p w14:paraId="2C7903DC">
      <w:pPr>
        <w:pStyle w:val="11"/>
        <w:widowControl/>
        <w:numPr>
          <w:ilvl w:val="0"/>
          <w:numId w:val="0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topLinePunct w:val="0"/>
        <w:spacing w:line="560" w:lineRule="exact"/>
        <w:jc w:val="both"/>
        <w:outlineLvl w:val="9"/>
        <w:rPr>
          <w:color w:val="auto"/>
          <w:highlight w:val="none"/>
        </w:rPr>
      </w:pPr>
    </w:p>
    <w:p w14:paraId="1C76806E">
      <w:pPr>
        <w:pStyle w:val="11"/>
        <w:widowControl/>
        <w:numPr>
          <w:ilvl w:val="0"/>
          <w:numId w:val="0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topLinePunct w:val="0"/>
        <w:spacing w:line="560" w:lineRule="exact"/>
        <w:jc w:val="both"/>
        <w:outlineLvl w:val="9"/>
        <w:rPr>
          <w:color w:val="auto"/>
          <w:highlight w:val="none"/>
        </w:rPr>
      </w:pPr>
    </w:p>
    <w:p w14:paraId="04335900">
      <w:pPr>
        <w:pStyle w:val="11"/>
        <w:widowControl/>
        <w:numPr>
          <w:ilvl w:val="0"/>
          <w:numId w:val="0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topLinePunct w:val="0"/>
        <w:spacing w:line="560" w:lineRule="exact"/>
        <w:jc w:val="both"/>
        <w:outlineLvl w:val="9"/>
        <w:rPr>
          <w:color w:val="auto"/>
          <w:highlight w:val="none"/>
        </w:rPr>
      </w:pPr>
    </w:p>
    <w:p w14:paraId="7AEF0280">
      <w:pPr>
        <w:pStyle w:val="11"/>
        <w:widowControl/>
        <w:numPr>
          <w:ilvl w:val="0"/>
          <w:numId w:val="0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topLinePunct w:val="0"/>
        <w:spacing w:line="560" w:lineRule="exact"/>
        <w:jc w:val="both"/>
        <w:outlineLvl w:val="9"/>
        <w:rPr>
          <w:color w:val="auto"/>
          <w:highlight w:val="none"/>
        </w:rPr>
      </w:pPr>
    </w:p>
    <w:p w14:paraId="533E8C6F">
      <w:pPr>
        <w:pStyle w:val="11"/>
        <w:widowControl/>
        <w:numPr>
          <w:ilvl w:val="0"/>
          <w:numId w:val="0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topLinePunct w:val="0"/>
        <w:spacing w:line="560" w:lineRule="exact"/>
        <w:jc w:val="both"/>
        <w:outlineLvl w:val="9"/>
        <w:rPr>
          <w:color w:val="auto"/>
          <w:highlight w:val="none"/>
        </w:rPr>
      </w:pPr>
    </w:p>
    <w:p w14:paraId="05B045BC">
      <w:pPr>
        <w:pStyle w:val="11"/>
        <w:widowControl/>
        <w:numPr>
          <w:ilvl w:val="0"/>
          <w:numId w:val="0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topLinePunct w:val="0"/>
        <w:spacing w:line="560" w:lineRule="exact"/>
        <w:jc w:val="both"/>
        <w:outlineLvl w:val="9"/>
        <w:rPr>
          <w:color w:val="auto"/>
          <w:highlight w:val="none"/>
        </w:rPr>
      </w:pPr>
    </w:p>
    <w:p w14:paraId="4F94A51A">
      <w:pPr>
        <w:pStyle w:val="11"/>
        <w:widowControl/>
        <w:numPr>
          <w:ilvl w:val="0"/>
          <w:numId w:val="0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topLinePunct w:val="0"/>
        <w:spacing w:line="560" w:lineRule="exact"/>
        <w:jc w:val="both"/>
        <w:outlineLvl w:val="9"/>
        <w:rPr>
          <w:color w:val="auto"/>
          <w:highlight w:val="none"/>
        </w:rPr>
      </w:pPr>
    </w:p>
    <w:p w14:paraId="621C0407">
      <w:pPr>
        <w:pStyle w:val="11"/>
        <w:widowControl/>
        <w:numPr>
          <w:ilvl w:val="0"/>
          <w:numId w:val="0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topLinePunct w:val="0"/>
        <w:spacing w:line="560" w:lineRule="exact"/>
        <w:jc w:val="both"/>
        <w:outlineLvl w:val="9"/>
        <w:rPr>
          <w:color w:val="auto"/>
          <w:highlight w:val="none"/>
        </w:rPr>
      </w:pPr>
    </w:p>
    <w:p w14:paraId="554733B9">
      <w:pPr>
        <w:pStyle w:val="11"/>
        <w:widowControl/>
        <w:numPr>
          <w:ilvl w:val="0"/>
          <w:numId w:val="0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topLinePunct w:val="0"/>
        <w:spacing w:line="560" w:lineRule="exact"/>
        <w:jc w:val="both"/>
        <w:outlineLvl w:val="9"/>
        <w:rPr>
          <w:color w:val="auto"/>
          <w:highlight w:val="none"/>
        </w:rPr>
      </w:pPr>
    </w:p>
    <w:p w14:paraId="72CB1175">
      <w:pPr>
        <w:pStyle w:val="11"/>
        <w:widowControl/>
        <w:numPr>
          <w:ilvl w:val="0"/>
          <w:numId w:val="0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topLinePunct w:val="0"/>
        <w:spacing w:line="560" w:lineRule="exact"/>
        <w:jc w:val="both"/>
        <w:outlineLvl w:val="9"/>
        <w:rPr>
          <w:color w:val="auto"/>
          <w:highlight w:val="none"/>
        </w:rPr>
      </w:pPr>
    </w:p>
    <w:p w14:paraId="03033F87">
      <w:pPr>
        <w:pStyle w:val="11"/>
        <w:widowControl/>
        <w:numPr>
          <w:ilvl w:val="0"/>
          <w:numId w:val="0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topLinePunct w:val="0"/>
        <w:spacing w:line="560" w:lineRule="exact"/>
        <w:jc w:val="both"/>
        <w:outlineLvl w:val="9"/>
        <w:rPr>
          <w:color w:val="auto"/>
          <w:highlight w:val="none"/>
        </w:rPr>
      </w:pPr>
    </w:p>
    <w:p w14:paraId="5A4BE01C">
      <w:pPr>
        <w:pStyle w:val="11"/>
        <w:widowControl/>
        <w:numPr>
          <w:ilvl w:val="0"/>
          <w:numId w:val="0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topLinePunct w:val="0"/>
        <w:spacing w:line="560" w:lineRule="exact"/>
        <w:jc w:val="both"/>
        <w:outlineLvl w:val="9"/>
        <w:rPr>
          <w:color w:val="auto"/>
          <w:highlight w:val="none"/>
        </w:rPr>
      </w:pPr>
    </w:p>
    <w:p w14:paraId="740E4755">
      <w:pPr>
        <w:pStyle w:val="11"/>
        <w:widowControl/>
        <w:numPr>
          <w:ilvl w:val="0"/>
          <w:numId w:val="0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topLinePunct w:val="0"/>
        <w:spacing w:line="560" w:lineRule="exact"/>
        <w:jc w:val="both"/>
        <w:outlineLvl w:val="9"/>
        <w:rPr>
          <w:color w:val="auto"/>
          <w:highlight w:val="none"/>
        </w:rPr>
      </w:pPr>
    </w:p>
    <w:tbl>
      <w:tblPr>
        <w:tblStyle w:val="14"/>
        <w:tblW w:w="9299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32"/>
        <w:gridCol w:w="631"/>
        <w:gridCol w:w="631"/>
        <w:gridCol w:w="1590"/>
        <w:gridCol w:w="2790"/>
        <w:gridCol w:w="631"/>
        <w:gridCol w:w="1794"/>
      </w:tblGrid>
      <w:tr w14:paraId="1E389CA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  <w:tblHeader/>
          <w:jc w:val="center"/>
        </w:trPr>
        <w:tc>
          <w:tcPr>
            <w:tcW w:w="1232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82CD6A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rPr>
                <w:rFonts w:ascii="宋体" w:eastAsia="宋体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一级指标</w:t>
            </w:r>
          </w:p>
        </w:tc>
        <w:tc>
          <w:tcPr>
            <w:tcW w:w="631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AF43E0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rPr>
                <w:rFonts w:ascii="宋体" w:eastAsia="宋体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分值</w:t>
            </w:r>
          </w:p>
        </w:tc>
        <w:tc>
          <w:tcPr>
            <w:tcW w:w="631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2C6290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rPr>
                <w:rFonts w:ascii="宋体" w:eastAsia="宋体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序号</w:t>
            </w:r>
          </w:p>
        </w:tc>
        <w:tc>
          <w:tcPr>
            <w:tcW w:w="1590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50006C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rPr>
                <w:rFonts w:ascii="宋体" w:eastAsia="宋体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二级指标</w:t>
            </w:r>
          </w:p>
        </w:tc>
        <w:tc>
          <w:tcPr>
            <w:tcW w:w="2790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5FC496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rPr>
                <w:rFonts w:ascii="宋体" w:eastAsia="宋体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评分标准</w:t>
            </w:r>
          </w:p>
        </w:tc>
        <w:tc>
          <w:tcPr>
            <w:tcW w:w="631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148CFE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rPr>
                <w:rFonts w:ascii="宋体" w:eastAsia="宋体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分值</w:t>
            </w:r>
          </w:p>
        </w:tc>
        <w:tc>
          <w:tcPr>
            <w:tcW w:w="1794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2470FE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rPr>
                <w:rFonts w:ascii="宋体" w:eastAsia="宋体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佐证材料</w:t>
            </w:r>
          </w:p>
        </w:tc>
      </w:tr>
      <w:tr w14:paraId="7A901E8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  <w:jc w:val="center"/>
        </w:trPr>
        <w:tc>
          <w:tcPr>
            <w:tcW w:w="1232" w:type="dxa"/>
            <w:vMerge w:val="restart"/>
            <w:tcBorders>
              <w:top w:val="single" w:color="CCCCCC" w:sz="6" w:space="0"/>
              <w:left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DDE581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rPr>
                <w:rFonts w:ascii="宋体" w:eastAsia="宋体"/>
                <w:color w:val="auto"/>
                <w:sz w:val="24"/>
                <w:highlight w:val="none"/>
              </w:rPr>
            </w:pPr>
            <w:r>
              <w:rPr>
                <w:rStyle w:val="16"/>
                <w:rFonts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合作基础与保障</w:t>
            </w:r>
          </w:p>
        </w:tc>
        <w:tc>
          <w:tcPr>
            <w:tcW w:w="631" w:type="dxa"/>
            <w:vMerge w:val="restart"/>
            <w:tcBorders>
              <w:top w:val="single" w:color="CCCCCC" w:sz="6" w:space="0"/>
              <w:left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9DA282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rPr>
                <w:rFonts w:ascii="宋体" w:eastAsia="宋体"/>
                <w:color w:val="auto"/>
                <w:sz w:val="24"/>
                <w:highlight w:val="none"/>
              </w:rPr>
            </w:pPr>
            <w:r>
              <w:rPr>
                <w:rStyle w:val="16"/>
                <w:rFonts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20</w:t>
            </w:r>
          </w:p>
        </w:tc>
        <w:tc>
          <w:tcPr>
            <w:tcW w:w="631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C66D50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rPr>
                <w:rFonts w:ascii="宋体" w:eastAsia="宋体"/>
                <w:color w:val="auto"/>
                <w:sz w:val="24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1</w:t>
            </w:r>
          </w:p>
        </w:tc>
        <w:tc>
          <w:tcPr>
            <w:tcW w:w="1590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341850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rPr>
                <w:rFonts w:ascii="宋体" w:eastAsia="宋体"/>
                <w:color w:val="auto"/>
                <w:sz w:val="24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单位资质与信誉</w:t>
            </w:r>
          </w:p>
        </w:tc>
        <w:tc>
          <w:tcPr>
            <w:tcW w:w="2790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0AEF34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rPr>
                <w:rFonts w:ascii="宋体" w:eastAsia="宋体"/>
                <w:color w:val="auto"/>
                <w:sz w:val="24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依法注册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，</w:t>
            </w:r>
            <w:r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无不良记录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，</w:t>
            </w:r>
            <w:r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口碑良好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。</w:t>
            </w:r>
          </w:p>
        </w:tc>
        <w:tc>
          <w:tcPr>
            <w:tcW w:w="631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C77729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rPr>
                <w:rFonts w:ascii="宋体" w:eastAsia="宋体"/>
                <w:color w:val="auto"/>
                <w:sz w:val="24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4</w:t>
            </w:r>
          </w:p>
        </w:tc>
        <w:tc>
          <w:tcPr>
            <w:tcW w:w="1794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F0A315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营业执照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，</w:t>
            </w:r>
            <w:r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信用报告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，</w:t>
            </w:r>
          </w:p>
          <w:p w14:paraId="718D93E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</w:tr>
      <w:tr w14:paraId="3B7A3CA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  <w:jc w:val="center"/>
        </w:trPr>
        <w:tc>
          <w:tcPr>
            <w:tcW w:w="1232" w:type="dxa"/>
            <w:vMerge w:val="continue"/>
            <w:tcBorders>
              <w:left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557EDD2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eastAsia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31" w:type="dxa"/>
            <w:vMerge w:val="continue"/>
            <w:tcBorders>
              <w:left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8345D6F">
            <w:pPr>
              <w:snapToGrid w:val="0"/>
              <w:ind w:left="0" w:leftChars="0" w:right="0" w:rightChars="0" w:firstLine="0" w:firstLineChars="0"/>
              <w:jc w:val="right"/>
              <w:rPr>
                <w:rFonts w:hint="eastAsia" w:ascii="宋体" w:eastAsia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31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60BC88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rPr>
                <w:rFonts w:ascii="宋体" w:eastAsia="宋体"/>
                <w:color w:val="auto"/>
                <w:sz w:val="24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2</w:t>
            </w:r>
          </w:p>
        </w:tc>
        <w:tc>
          <w:tcPr>
            <w:tcW w:w="1590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8508DC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rPr>
                <w:rFonts w:ascii="宋体" w:eastAsia="宋体"/>
                <w:color w:val="auto"/>
                <w:sz w:val="24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专业匹配度</w:t>
            </w:r>
          </w:p>
        </w:tc>
        <w:tc>
          <w:tcPr>
            <w:tcW w:w="2790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8E5414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rPr>
                <w:rFonts w:ascii="宋体" w:eastAsia="宋体"/>
                <w:color w:val="auto"/>
                <w:sz w:val="24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与专业高度契合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，</w:t>
            </w:r>
            <w:r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岗位符合大纲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。</w:t>
            </w:r>
          </w:p>
        </w:tc>
        <w:tc>
          <w:tcPr>
            <w:tcW w:w="631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27EEED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rPr>
                <w:rFonts w:ascii="宋体" w:eastAsia="宋体"/>
                <w:color w:val="auto"/>
                <w:sz w:val="24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4</w:t>
            </w:r>
          </w:p>
        </w:tc>
        <w:tc>
          <w:tcPr>
            <w:tcW w:w="1794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D46E84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实习手册记录体现</w:t>
            </w:r>
          </w:p>
          <w:p w14:paraId="13FD364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</w:tr>
      <w:tr w14:paraId="55E9A72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  <w:jc w:val="center"/>
        </w:trPr>
        <w:tc>
          <w:tcPr>
            <w:tcW w:w="1232" w:type="dxa"/>
            <w:vMerge w:val="continue"/>
            <w:tcBorders>
              <w:left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4E43AEB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eastAsia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31" w:type="dxa"/>
            <w:vMerge w:val="continue"/>
            <w:tcBorders>
              <w:left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4DBB7EA">
            <w:pPr>
              <w:snapToGrid w:val="0"/>
              <w:ind w:left="0" w:leftChars="0" w:right="0" w:rightChars="0" w:firstLine="0" w:firstLineChars="0"/>
              <w:jc w:val="right"/>
              <w:rPr>
                <w:rFonts w:hint="eastAsia" w:ascii="宋体" w:eastAsia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31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7D2EF3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rPr>
                <w:rFonts w:ascii="宋体" w:eastAsia="宋体"/>
                <w:color w:val="auto"/>
                <w:sz w:val="24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3</w:t>
            </w:r>
          </w:p>
        </w:tc>
        <w:tc>
          <w:tcPr>
            <w:tcW w:w="1590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3856FA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rPr>
                <w:rFonts w:ascii="宋体" w:eastAsia="宋体"/>
                <w:color w:val="auto"/>
                <w:sz w:val="24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硬件与工位保障</w:t>
            </w:r>
          </w:p>
        </w:tc>
        <w:tc>
          <w:tcPr>
            <w:tcW w:w="2790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CF746C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rPr>
                <w:rFonts w:ascii="宋体" w:eastAsia="宋体"/>
                <w:color w:val="auto"/>
                <w:sz w:val="24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场地设备完备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，</w:t>
            </w:r>
            <w:r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工位满足规模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。</w:t>
            </w:r>
          </w:p>
        </w:tc>
        <w:tc>
          <w:tcPr>
            <w:tcW w:w="631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F59CA9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rPr>
                <w:rFonts w:ascii="宋体" w:eastAsia="宋体"/>
                <w:color w:val="auto"/>
                <w:sz w:val="24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4</w:t>
            </w:r>
          </w:p>
        </w:tc>
        <w:tc>
          <w:tcPr>
            <w:tcW w:w="1794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A92F05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rPr>
                <w:rFonts w:ascii="宋体" w:eastAsia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工作场所</w:t>
            </w:r>
            <w:r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实景照</w:t>
            </w:r>
          </w:p>
        </w:tc>
      </w:tr>
      <w:tr w14:paraId="1D43EFE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  <w:jc w:val="center"/>
        </w:trPr>
        <w:tc>
          <w:tcPr>
            <w:tcW w:w="1232" w:type="dxa"/>
            <w:vMerge w:val="continue"/>
            <w:tcBorders>
              <w:left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EE25050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eastAsia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31" w:type="dxa"/>
            <w:vMerge w:val="continue"/>
            <w:tcBorders>
              <w:left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30000FA">
            <w:pPr>
              <w:snapToGrid w:val="0"/>
              <w:ind w:left="0" w:leftChars="0" w:right="0" w:rightChars="0" w:firstLine="0" w:firstLineChars="0"/>
              <w:jc w:val="right"/>
              <w:rPr>
                <w:rFonts w:hint="eastAsia" w:ascii="宋体" w:eastAsia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31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3699EA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rPr>
                <w:rFonts w:ascii="宋体" w:eastAsia="宋体"/>
                <w:color w:val="auto"/>
                <w:sz w:val="24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4</w:t>
            </w:r>
          </w:p>
        </w:tc>
        <w:tc>
          <w:tcPr>
            <w:tcW w:w="1590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98633B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rPr>
                <w:rFonts w:ascii="宋体" w:eastAsia="宋体"/>
                <w:color w:val="auto"/>
                <w:sz w:val="24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后勤与安全保障</w:t>
            </w:r>
          </w:p>
        </w:tc>
        <w:tc>
          <w:tcPr>
            <w:tcW w:w="2790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B9CB52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rPr>
                <w:rFonts w:ascii="宋体" w:eastAsia="宋体"/>
                <w:color w:val="auto"/>
                <w:sz w:val="24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劳动保护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，</w:t>
            </w:r>
            <w:r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安全培训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，</w:t>
            </w:r>
            <w:r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保险配合到位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。</w:t>
            </w:r>
          </w:p>
        </w:tc>
        <w:tc>
          <w:tcPr>
            <w:tcW w:w="631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15DC12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rPr>
                <w:rFonts w:ascii="宋体" w:eastAsia="宋体"/>
                <w:color w:val="auto"/>
                <w:sz w:val="24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4</w:t>
            </w:r>
          </w:p>
        </w:tc>
        <w:tc>
          <w:tcPr>
            <w:tcW w:w="1794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579E10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rPr>
                <w:rFonts w:ascii="宋体" w:eastAsia="宋体"/>
                <w:color w:val="auto"/>
                <w:sz w:val="24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安全制度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，安全培训</w:t>
            </w:r>
            <w:r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记录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，</w:t>
            </w:r>
            <w:r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保险单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，</w:t>
            </w:r>
            <w:r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安全检查记录</w:t>
            </w:r>
          </w:p>
        </w:tc>
      </w:tr>
      <w:tr w14:paraId="4F540B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  <w:jc w:val="center"/>
        </w:trPr>
        <w:tc>
          <w:tcPr>
            <w:tcW w:w="1232" w:type="dxa"/>
            <w:vMerge w:val="continue"/>
            <w:tcBorders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14A3720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eastAsia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31" w:type="dxa"/>
            <w:vMerge w:val="continue"/>
            <w:tcBorders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2848ACD">
            <w:pPr>
              <w:snapToGrid w:val="0"/>
              <w:ind w:left="0" w:leftChars="0" w:right="0" w:rightChars="0" w:firstLine="0" w:firstLineChars="0"/>
              <w:jc w:val="right"/>
              <w:rPr>
                <w:rFonts w:hint="eastAsia" w:ascii="宋体" w:eastAsia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31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59483D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rPr>
                <w:rFonts w:ascii="宋体" w:eastAsia="宋体"/>
                <w:color w:val="auto"/>
                <w:sz w:val="24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5</w:t>
            </w:r>
          </w:p>
        </w:tc>
        <w:tc>
          <w:tcPr>
            <w:tcW w:w="1590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F8AE58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rPr>
                <w:rFonts w:ascii="宋体" w:eastAsia="宋体"/>
                <w:color w:val="auto"/>
                <w:sz w:val="24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合作稳定性</w:t>
            </w:r>
          </w:p>
        </w:tc>
        <w:tc>
          <w:tcPr>
            <w:tcW w:w="2790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EB4209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rPr>
                <w:rFonts w:ascii="宋体" w:eastAsia="宋体"/>
                <w:color w:val="auto"/>
                <w:sz w:val="24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协议≥3 年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，</w:t>
            </w:r>
            <w:r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合作≥1 年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，</w:t>
            </w:r>
            <w:r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无纠纷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。</w:t>
            </w:r>
          </w:p>
        </w:tc>
        <w:tc>
          <w:tcPr>
            <w:tcW w:w="631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26D64A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rPr>
                <w:rFonts w:ascii="宋体" w:eastAsia="宋体"/>
                <w:color w:val="auto"/>
                <w:sz w:val="24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4</w:t>
            </w:r>
          </w:p>
        </w:tc>
        <w:tc>
          <w:tcPr>
            <w:tcW w:w="1794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8881B3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rPr>
                <w:rFonts w:ascii="宋体" w:eastAsia="宋体"/>
                <w:color w:val="auto"/>
                <w:sz w:val="24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合作协议、过往合作材料</w:t>
            </w:r>
          </w:p>
        </w:tc>
      </w:tr>
      <w:tr w14:paraId="35E39E0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  <w:jc w:val="center"/>
        </w:trPr>
        <w:tc>
          <w:tcPr>
            <w:tcW w:w="1232" w:type="dxa"/>
            <w:vMerge w:val="restart"/>
            <w:tcBorders>
              <w:top w:val="single" w:color="CCCCCC" w:sz="6" w:space="0"/>
              <w:left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6D178A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rPr>
                <w:rFonts w:ascii="宋体" w:eastAsia="宋体"/>
                <w:color w:val="auto"/>
                <w:sz w:val="24"/>
                <w:highlight w:val="none"/>
              </w:rPr>
            </w:pPr>
            <w:r>
              <w:rPr>
                <w:rStyle w:val="16"/>
                <w:rFonts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校企协同建设</w:t>
            </w:r>
          </w:p>
        </w:tc>
        <w:tc>
          <w:tcPr>
            <w:tcW w:w="631" w:type="dxa"/>
            <w:vMerge w:val="restart"/>
            <w:tcBorders>
              <w:top w:val="single" w:color="CCCCCC" w:sz="6" w:space="0"/>
              <w:left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F6E3B1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rPr>
                <w:rFonts w:ascii="宋体" w:eastAsia="宋体"/>
                <w:color w:val="auto"/>
                <w:sz w:val="24"/>
                <w:highlight w:val="none"/>
              </w:rPr>
            </w:pPr>
            <w:r>
              <w:rPr>
                <w:rStyle w:val="16"/>
                <w:rFonts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25</w:t>
            </w:r>
          </w:p>
        </w:tc>
        <w:tc>
          <w:tcPr>
            <w:tcW w:w="631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7C57D4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rPr>
                <w:rFonts w:ascii="宋体" w:eastAsia="宋体"/>
                <w:color w:val="auto"/>
                <w:sz w:val="24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1</w:t>
            </w:r>
          </w:p>
        </w:tc>
        <w:tc>
          <w:tcPr>
            <w:tcW w:w="1590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C41079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rPr>
                <w:rFonts w:ascii="宋体" w:eastAsia="宋体"/>
                <w:color w:val="auto"/>
                <w:sz w:val="24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培养体系共建</w:t>
            </w:r>
          </w:p>
        </w:tc>
        <w:tc>
          <w:tcPr>
            <w:tcW w:w="2790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6B20F1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rPr>
                <w:rFonts w:ascii="宋体" w:eastAsia="宋体"/>
                <w:color w:val="auto"/>
                <w:sz w:val="24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联合修订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培养</w:t>
            </w:r>
            <w:r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方案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，</w:t>
            </w:r>
            <w:r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开发课程 / 项目≥2 项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。</w:t>
            </w:r>
          </w:p>
        </w:tc>
        <w:tc>
          <w:tcPr>
            <w:tcW w:w="631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AFEADB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rPr>
                <w:rFonts w:ascii="宋体" w:eastAsia="宋体"/>
                <w:color w:val="auto"/>
                <w:sz w:val="24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6</w:t>
            </w:r>
          </w:p>
        </w:tc>
        <w:tc>
          <w:tcPr>
            <w:tcW w:w="1794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5A9F2A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培养方案、实践课程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、</w:t>
            </w:r>
            <w:r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大纲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或其他合作材料</w:t>
            </w:r>
          </w:p>
          <w:p w14:paraId="7BDAEA3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</w:tr>
      <w:tr w14:paraId="5A18D21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  <w:jc w:val="center"/>
        </w:trPr>
        <w:tc>
          <w:tcPr>
            <w:tcW w:w="1232" w:type="dxa"/>
            <w:vMerge w:val="continue"/>
            <w:tcBorders>
              <w:left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EFB476E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eastAsia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31" w:type="dxa"/>
            <w:vMerge w:val="continue"/>
            <w:tcBorders>
              <w:left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49A7CCA">
            <w:pPr>
              <w:snapToGrid w:val="0"/>
              <w:ind w:left="0" w:leftChars="0" w:right="0" w:rightChars="0" w:firstLine="0" w:firstLineChars="0"/>
              <w:jc w:val="right"/>
              <w:rPr>
                <w:rFonts w:hint="eastAsia" w:ascii="宋体" w:eastAsia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31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4A0AE2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rPr>
                <w:rFonts w:ascii="宋体" w:eastAsia="宋体"/>
                <w:color w:val="auto"/>
                <w:sz w:val="24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2</w:t>
            </w:r>
          </w:p>
        </w:tc>
        <w:tc>
          <w:tcPr>
            <w:tcW w:w="1590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593EA7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rPr>
                <w:rFonts w:ascii="宋体" w:eastAsia="宋体"/>
                <w:color w:val="auto"/>
                <w:sz w:val="24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师资队伍共建</w:t>
            </w:r>
          </w:p>
        </w:tc>
        <w:tc>
          <w:tcPr>
            <w:tcW w:w="2790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BBFDE2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rPr>
                <w:rFonts w:ascii="宋体" w:eastAsia="宋体"/>
                <w:color w:val="auto"/>
                <w:sz w:val="24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校内师生比≤1:15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，</w:t>
            </w:r>
            <w:r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校外导师达标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。</w:t>
            </w:r>
          </w:p>
        </w:tc>
        <w:tc>
          <w:tcPr>
            <w:tcW w:w="631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F7A00C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rPr>
                <w:rFonts w:ascii="宋体" w:eastAsia="宋体"/>
                <w:color w:val="auto"/>
                <w:sz w:val="24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6</w:t>
            </w:r>
          </w:p>
        </w:tc>
        <w:tc>
          <w:tcPr>
            <w:tcW w:w="1794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C51AE5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校内外指导教师</w:t>
            </w:r>
            <w:r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分配表</w:t>
            </w:r>
          </w:p>
          <w:p w14:paraId="5D12BBE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</w:tr>
      <w:tr w14:paraId="7119888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  <w:jc w:val="center"/>
        </w:trPr>
        <w:tc>
          <w:tcPr>
            <w:tcW w:w="1232" w:type="dxa"/>
            <w:vMerge w:val="continue"/>
            <w:tcBorders>
              <w:left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5039B51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eastAsia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31" w:type="dxa"/>
            <w:vMerge w:val="continue"/>
            <w:tcBorders>
              <w:left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C3E323E">
            <w:pPr>
              <w:snapToGrid w:val="0"/>
              <w:ind w:left="0" w:leftChars="0" w:right="0" w:rightChars="0" w:firstLine="0" w:firstLineChars="0"/>
              <w:jc w:val="right"/>
              <w:rPr>
                <w:rFonts w:hint="eastAsia" w:ascii="宋体" w:eastAsia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31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9C1EEE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rPr>
                <w:rFonts w:ascii="宋体" w:eastAsia="宋体"/>
                <w:color w:val="auto"/>
                <w:sz w:val="24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3</w:t>
            </w:r>
          </w:p>
        </w:tc>
        <w:tc>
          <w:tcPr>
            <w:tcW w:w="1590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6EEA25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rPr>
                <w:rFonts w:ascii="宋体" w:eastAsia="宋体"/>
                <w:color w:val="auto"/>
                <w:sz w:val="24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管理机制共建</w:t>
            </w:r>
          </w:p>
        </w:tc>
        <w:tc>
          <w:tcPr>
            <w:tcW w:w="2790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54A2D8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rPr>
                <w:rFonts w:ascii="宋体" w:eastAsia="宋体"/>
                <w:color w:val="auto"/>
                <w:sz w:val="24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职责明确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，</w:t>
            </w:r>
            <w:r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制度完善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。</w:t>
            </w:r>
          </w:p>
        </w:tc>
        <w:tc>
          <w:tcPr>
            <w:tcW w:w="631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63F61E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rPr>
                <w:rFonts w:ascii="宋体" w:eastAsia="宋体"/>
                <w:color w:val="auto"/>
                <w:sz w:val="24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5</w:t>
            </w:r>
          </w:p>
        </w:tc>
        <w:tc>
          <w:tcPr>
            <w:tcW w:w="1794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E9D02D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职责分工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，</w:t>
            </w:r>
            <w:r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管理制度</w:t>
            </w:r>
          </w:p>
          <w:p w14:paraId="16BBB7B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</w:tr>
      <w:tr w14:paraId="3F4F0A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  <w:jc w:val="center"/>
        </w:trPr>
        <w:tc>
          <w:tcPr>
            <w:tcW w:w="1232" w:type="dxa"/>
            <w:vMerge w:val="continue"/>
            <w:tcBorders>
              <w:left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460475E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eastAsia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31" w:type="dxa"/>
            <w:vMerge w:val="continue"/>
            <w:tcBorders>
              <w:left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00A8FE1">
            <w:pPr>
              <w:snapToGrid w:val="0"/>
              <w:ind w:left="0" w:leftChars="0" w:right="0" w:rightChars="0" w:firstLine="0" w:firstLineChars="0"/>
              <w:jc w:val="right"/>
              <w:rPr>
                <w:rFonts w:hint="eastAsia" w:ascii="宋体" w:eastAsia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31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8B78B2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rPr>
                <w:rFonts w:ascii="宋体" w:eastAsia="宋体"/>
                <w:color w:val="auto"/>
                <w:sz w:val="24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4</w:t>
            </w:r>
          </w:p>
        </w:tc>
        <w:tc>
          <w:tcPr>
            <w:tcW w:w="1590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2A5B64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rPr>
                <w:rFonts w:ascii="宋体" w:eastAsia="宋体"/>
                <w:color w:val="auto"/>
                <w:sz w:val="24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校企沟通机制</w:t>
            </w:r>
          </w:p>
        </w:tc>
        <w:tc>
          <w:tcPr>
            <w:tcW w:w="2790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F77FA7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rPr>
                <w:rFonts w:ascii="宋体" w:eastAsia="宋体"/>
                <w:color w:val="auto"/>
                <w:sz w:val="24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每学期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校企</w:t>
            </w:r>
            <w:r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会议≥1 次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，</w:t>
            </w:r>
            <w:r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记录完整得 4 分</w:t>
            </w:r>
          </w:p>
        </w:tc>
        <w:tc>
          <w:tcPr>
            <w:tcW w:w="631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66EED5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rPr>
                <w:rFonts w:ascii="宋体" w:eastAsia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6</w:t>
            </w:r>
          </w:p>
        </w:tc>
        <w:tc>
          <w:tcPr>
            <w:tcW w:w="1794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AEB973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会议纪要、沟通记录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（基地）</w:t>
            </w:r>
          </w:p>
          <w:p w14:paraId="44186C4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</w:tr>
      <w:tr w14:paraId="45B65BD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410" w:hRule="atLeast"/>
          <w:jc w:val="center"/>
        </w:trPr>
        <w:tc>
          <w:tcPr>
            <w:tcW w:w="1232" w:type="dxa"/>
            <w:vMerge w:val="continue"/>
            <w:tcBorders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4181EA8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eastAsia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31" w:type="dxa"/>
            <w:vMerge w:val="continue"/>
            <w:tcBorders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48866DA">
            <w:pPr>
              <w:snapToGrid w:val="0"/>
              <w:ind w:left="0" w:leftChars="0" w:right="0" w:rightChars="0" w:firstLine="0" w:firstLineChars="0"/>
              <w:jc w:val="right"/>
              <w:rPr>
                <w:rFonts w:hint="eastAsia" w:ascii="宋体" w:eastAsia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31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0B3DD3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rPr>
                <w:rFonts w:ascii="宋体" w:eastAsia="宋体"/>
                <w:color w:val="auto"/>
                <w:sz w:val="24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5</w:t>
            </w:r>
          </w:p>
        </w:tc>
        <w:tc>
          <w:tcPr>
            <w:tcW w:w="1590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1B9DA7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rPr>
                <w:rFonts w:ascii="宋体" w:eastAsia="宋体"/>
                <w:color w:val="auto"/>
                <w:sz w:val="24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成果转化共建</w:t>
            </w:r>
          </w:p>
        </w:tc>
        <w:tc>
          <w:tcPr>
            <w:tcW w:w="2790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DE854C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rPr>
                <w:rFonts w:ascii="宋体" w:eastAsia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产教融合</w:t>
            </w:r>
            <w:r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 xml:space="preserve"> / 双创项目≥1 项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。</w:t>
            </w:r>
          </w:p>
        </w:tc>
        <w:tc>
          <w:tcPr>
            <w:tcW w:w="631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64D8ED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rPr>
                <w:rFonts w:ascii="宋体" w:eastAsia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2</w:t>
            </w:r>
          </w:p>
        </w:tc>
        <w:tc>
          <w:tcPr>
            <w:tcW w:w="1794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2B6907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rPr>
                <w:rFonts w:ascii="宋体" w:eastAsia="宋体"/>
                <w:color w:val="auto"/>
                <w:sz w:val="24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项目通知书、获奖证书、成果报告</w:t>
            </w:r>
          </w:p>
        </w:tc>
      </w:tr>
      <w:tr w14:paraId="0AA419C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  <w:jc w:val="center"/>
        </w:trPr>
        <w:tc>
          <w:tcPr>
            <w:tcW w:w="1232" w:type="dxa"/>
            <w:vMerge w:val="restart"/>
            <w:tcBorders>
              <w:top w:val="single" w:color="CCCCCC" w:sz="6" w:space="0"/>
              <w:left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B11BA0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rPr>
                <w:rFonts w:ascii="宋体" w:eastAsia="宋体"/>
                <w:color w:val="auto"/>
                <w:sz w:val="24"/>
                <w:highlight w:val="none"/>
              </w:rPr>
            </w:pPr>
            <w:r>
              <w:rPr>
                <w:rStyle w:val="16"/>
                <w:rFonts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实践教学实施</w:t>
            </w:r>
          </w:p>
        </w:tc>
        <w:tc>
          <w:tcPr>
            <w:tcW w:w="631" w:type="dxa"/>
            <w:vMerge w:val="restart"/>
            <w:tcBorders>
              <w:top w:val="single" w:color="CCCCCC" w:sz="6" w:space="0"/>
              <w:left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1DADDD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rPr>
                <w:rFonts w:ascii="宋体" w:eastAsia="宋体"/>
                <w:color w:val="auto"/>
                <w:sz w:val="24"/>
                <w:highlight w:val="none"/>
              </w:rPr>
            </w:pPr>
            <w:r>
              <w:rPr>
                <w:rStyle w:val="16"/>
                <w:rFonts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30</w:t>
            </w:r>
          </w:p>
        </w:tc>
        <w:tc>
          <w:tcPr>
            <w:tcW w:w="631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A98465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rPr>
                <w:rFonts w:ascii="宋体" w:eastAsia="宋体"/>
                <w:color w:val="auto"/>
                <w:sz w:val="24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1</w:t>
            </w:r>
          </w:p>
        </w:tc>
        <w:tc>
          <w:tcPr>
            <w:tcW w:w="1590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9A88BE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rPr>
                <w:rFonts w:ascii="宋体" w:eastAsia="宋体"/>
                <w:color w:val="auto"/>
                <w:sz w:val="24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实习计划制定</w:t>
            </w:r>
          </w:p>
        </w:tc>
        <w:tc>
          <w:tcPr>
            <w:tcW w:w="2790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EA0FDA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rPr>
                <w:rFonts w:ascii="宋体" w:eastAsia="宋体" w:hAnsiTheme="minorHAnsi" w:cstheme="minorBidi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计划规范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，</w:t>
            </w:r>
            <w:r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符合培养方案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，按时报备。</w:t>
            </w:r>
          </w:p>
        </w:tc>
        <w:tc>
          <w:tcPr>
            <w:tcW w:w="631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9E301D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rPr>
                <w:rFonts w:ascii="宋体" w:eastAsia="宋体"/>
                <w:color w:val="auto"/>
                <w:sz w:val="24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6</w:t>
            </w:r>
          </w:p>
        </w:tc>
        <w:tc>
          <w:tcPr>
            <w:tcW w:w="1794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C2C3B2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rPr>
                <w:rFonts w:ascii="宋体" w:eastAsia="宋体"/>
                <w:color w:val="auto"/>
                <w:sz w:val="24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实践计划、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按时报备（教务处认定）</w:t>
            </w:r>
          </w:p>
        </w:tc>
      </w:tr>
      <w:tr w14:paraId="710FDD1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  <w:jc w:val="center"/>
        </w:trPr>
        <w:tc>
          <w:tcPr>
            <w:tcW w:w="1232" w:type="dxa"/>
            <w:vMerge w:val="continue"/>
            <w:tcBorders>
              <w:left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7FA2B46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eastAsia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31" w:type="dxa"/>
            <w:vMerge w:val="continue"/>
            <w:tcBorders>
              <w:left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7DEE273">
            <w:pPr>
              <w:snapToGrid w:val="0"/>
              <w:ind w:left="0" w:leftChars="0" w:right="0" w:rightChars="0" w:firstLine="0" w:firstLineChars="0"/>
              <w:jc w:val="right"/>
              <w:rPr>
                <w:rFonts w:hint="eastAsia" w:ascii="宋体" w:eastAsia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31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0402C5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rPr>
                <w:rFonts w:ascii="宋体" w:eastAsia="宋体"/>
                <w:color w:val="auto"/>
                <w:sz w:val="24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2</w:t>
            </w:r>
          </w:p>
        </w:tc>
        <w:tc>
          <w:tcPr>
            <w:tcW w:w="1590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9061DD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rPr>
                <w:rFonts w:ascii="宋体" w:eastAsia="宋体"/>
                <w:color w:val="auto"/>
                <w:sz w:val="24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实习时长保障</w:t>
            </w:r>
          </w:p>
        </w:tc>
        <w:tc>
          <w:tcPr>
            <w:tcW w:w="2790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205E9F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rPr>
                <w:rFonts w:ascii="宋体" w:eastAsia="宋体"/>
                <w:color w:val="auto"/>
                <w:sz w:val="24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满足方案时长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，</w:t>
            </w:r>
            <w:r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野外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实习手续齐全。</w:t>
            </w:r>
          </w:p>
        </w:tc>
        <w:tc>
          <w:tcPr>
            <w:tcW w:w="631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AB8BEA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rPr>
                <w:rFonts w:ascii="宋体" w:eastAsia="宋体"/>
                <w:color w:val="auto"/>
                <w:sz w:val="24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6</w:t>
            </w:r>
          </w:p>
        </w:tc>
        <w:tc>
          <w:tcPr>
            <w:tcW w:w="1794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B581CF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rPr>
                <w:rFonts w:ascii="宋体" w:eastAsia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当年毕业生教务系统数据为准</w:t>
            </w:r>
          </w:p>
        </w:tc>
      </w:tr>
      <w:tr w14:paraId="572E807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  <w:jc w:val="center"/>
        </w:trPr>
        <w:tc>
          <w:tcPr>
            <w:tcW w:w="1232" w:type="dxa"/>
            <w:vMerge w:val="continue"/>
            <w:tcBorders>
              <w:left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FF544AF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eastAsia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31" w:type="dxa"/>
            <w:vMerge w:val="continue"/>
            <w:tcBorders>
              <w:left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7ED0926">
            <w:pPr>
              <w:snapToGrid w:val="0"/>
              <w:ind w:left="0" w:leftChars="0" w:right="0" w:rightChars="0" w:firstLine="0" w:firstLineChars="0"/>
              <w:jc w:val="right"/>
              <w:rPr>
                <w:rFonts w:hint="eastAsia" w:ascii="宋体" w:eastAsia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31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F29302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rPr>
                <w:rFonts w:ascii="宋体" w:eastAsia="宋体"/>
                <w:color w:val="auto"/>
                <w:sz w:val="24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3</w:t>
            </w:r>
          </w:p>
        </w:tc>
        <w:tc>
          <w:tcPr>
            <w:tcW w:w="1590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C479F0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rPr>
                <w:rFonts w:ascii="宋体" w:eastAsia="宋体"/>
                <w:color w:val="auto"/>
                <w:sz w:val="24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过程管理跟踪</w:t>
            </w:r>
          </w:p>
        </w:tc>
        <w:tc>
          <w:tcPr>
            <w:tcW w:w="2790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34EC65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rPr>
                <w:rFonts w:ascii="宋体" w:eastAsia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校内指导教师</w:t>
            </w:r>
            <w:r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每周沟通≥1 次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，每月</w:t>
            </w:r>
            <w:r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实地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走访</w:t>
            </w:r>
            <w:r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≥1 次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，</w:t>
            </w:r>
            <w:r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记录完整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。</w:t>
            </w:r>
          </w:p>
        </w:tc>
        <w:tc>
          <w:tcPr>
            <w:tcW w:w="631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5BC5D1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rPr>
                <w:rFonts w:ascii="宋体" w:eastAsia="宋体"/>
                <w:color w:val="auto"/>
                <w:sz w:val="24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8</w:t>
            </w:r>
          </w:p>
        </w:tc>
        <w:tc>
          <w:tcPr>
            <w:tcW w:w="1794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48B3A3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rPr>
                <w:rFonts w:ascii="宋体" w:eastAsia="宋体"/>
                <w:color w:val="auto"/>
                <w:sz w:val="24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指导记录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，</w:t>
            </w:r>
            <w:r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实践日志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，</w:t>
            </w:r>
            <w:r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检查报告</w:t>
            </w:r>
          </w:p>
        </w:tc>
      </w:tr>
      <w:tr w14:paraId="43A864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  <w:jc w:val="center"/>
        </w:trPr>
        <w:tc>
          <w:tcPr>
            <w:tcW w:w="1232" w:type="dxa"/>
            <w:vMerge w:val="continue"/>
            <w:tcBorders>
              <w:left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AEE6337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eastAsia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31" w:type="dxa"/>
            <w:vMerge w:val="continue"/>
            <w:tcBorders>
              <w:left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90386B3">
            <w:pPr>
              <w:snapToGrid w:val="0"/>
              <w:ind w:left="0" w:leftChars="0" w:right="0" w:rightChars="0" w:firstLine="0" w:firstLineChars="0"/>
              <w:jc w:val="right"/>
              <w:rPr>
                <w:rFonts w:hint="eastAsia" w:ascii="宋体" w:eastAsia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31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0ADF5F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rPr>
                <w:rFonts w:ascii="宋体" w:eastAsia="宋体"/>
                <w:color w:val="auto"/>
                <w:sz w:val="24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4</w:t>
            </w:r>
          </w:p>
        </w:tc>
        <w:tc>
          <w:tcPr>
            <w:tcW w:w="1590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8C0D2F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rPr>
                <w:rFonts w:ascii="宋体" w:eastAsia="宋体"/>
                <w:color w:val="auto"/>
                <w:sz w:val="24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考核评价体系</w:t>
            </w:r>
          </w:p>
        </w:tc>
        <w:tc>
          <w:tcPr>
            <w:tcW w:w="2790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13DFE9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rPr>
                <w:rFonts w:ascii="宋体" w:eastAsia="宋体"/>
                <w:color w:val="auto"/>
                <w:sz w:val="24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权重合规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，</w:t>
            </w:r>
            <w:r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等第规范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，打分</w:t>
            </w:r>
            <w:r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录入平台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。</w:t>
            </w:r>
          </w:p>
        </w:tc>
        <w:tc>
          <w:tcPr>
            <w:tcW w:w="631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24A9D7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rPr>
                <w:rFonts w:ascii="宋体" w:eastAsia="宋体"/>
                <w:color w:val="auto"/>
                <w:sz w:val="24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5</w:t>
            </w:r>
          </w:p>
        </w:tc>
        <w:tc>
          <w:tcPr>
            <w:tcW w:w="1794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DA5FC3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rPr>
                <w:rFonts w:hint="default" w:ascii="宋体" w:eastAsia="宋体"/>
                <w:color w:val="auto"/>
                <w:sz w:val="24"/>
                <w:highlight w:val="none"/>
                <w:lang w:val="en-US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考核办法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，教务系统内打分情况</w:t>
            </w:r>
          </w:p>
        </w:tc>
      </w:tr>
      <w:tr w14:paraId="345151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  <w:jc w:val="center"/>
        </w:trPr>
        <w:tc>
          <w:tcPr>
            <w:tcW w:w="1232" w:type="dxa"/>
            <w:vMerge w:val="continue"/>
            <w:tcBorders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322EBB8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eastAsia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31" w:type="dxa"/>
            <w:vMerge w:val="continue"/>
            <w:tcBorders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E58186C">
            <w:pPr>
              <w:snapToGrid w:val="0"/>
              <w:ind w:left="0" w:leftChars="0" w:right="0" w:rightChars="0" w:firstLine="0" w:firstLineChars="0"/>
              <w:jc w:val="right"/>
              <w:rPr>
                <w:rFonts w:hint="eastAsia" w:ascii="宋体" w:eastAsia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31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55B189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rPr>
                <w:rFonts w:ascii="宋体" w:eastAsia="宋体"/>
                <w:color w:val="auto"/>
                <w:sz w:val="24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5</w:t>
            </w:r>
          </w:p>
        </w:tc>
        <w:tc>
          <w:tcPr>
            <w:tcW w:w="1590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233EB1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rPr>
                <w:rFonts w:ascii="宋体" w:eastAsia="宋体"/>
                <w:color w:val="auto"/>
                <w:sz w:val="24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实习考核成效</w:t>
            </w:r>
          </w:p>
        </w:tc>
        <w:tc>
          <w:tcPr>
            <w:tcW w:w="2790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C91F11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rPr>
                <w:rFonts w:ascii="宋体" w:eastAsia="宋体"/>
                <w:color w:val="auto"/>
                <w:sz w:val="24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合格率≥95% 得 5 分；90%-95% 得 3 分；80%-90% 得 1 分；＜80% 不得分</w:t>
            </w:r>
          </w:p>
        </w:tc>
        <w:tc>
          <w:tcPr>
            <w:tcW w:w="631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DAEF44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rPr>
                <w:rFonts w:ascii="宋体" w:eastAsia="宋体"/>
                <w:color w:val="auto"/>
                <w:sz w:val="24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5</w:t>
            </w:r>
          </w:p>
        </w:tc>
        <w:tc>
          <w:tcPr>
            <w:tcW w:w="1794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E7EDB8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rPr>
                <w:rFonts w:ascii="宋体" w:eastAsia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教务系统内打分情况，不合格</w:t>
            </w:r>
            <w:r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处理说明</w:t>
            </w:r>
          </w:p>
        </w:tc>
      </w:tr>
      <w:tr w14:paraId="60404DB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  <w:jc w:val="center"/>
        </w:trPr>
        <w:tc>
          <w:tcPr>
            <w:tcW w:w="1232" w:type="dxa"/>
            <w:vMerge w:val="restart"/>
            <w:tcBorders>
              <w:top w:val="single" w:color="CCCCCC" w:sz="6" w:space="0"/>
              <w:left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127434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rPr>
                <w:rFonts w:ascii="宋体" w:eastAsia="宋体"/>
                <w:color w:val="auto"/>
                <w:sz w:val="24"/>
                <w:highlight w:val="none"/>
              </w:rPr>
            </w:pPr>
            <w:r>
              <w:rPr>
                <w:rStyle w:val="16"/>
                <w:rFonts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基地管理与成效</w:t>
            </w:r>
          </w:p>
        </w:tc>
        <w:tc>
          <w:tcPr>
            <w:tcW w:w="631" w:type="dxa"/>
            <w:vMerge w:val="restart"/>
            <w:tcBorders>
              <w:top w:val="single" w:color="CCCCCC" w:sz="6" w:space="0"/>
              <w:left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9ED30C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rPr>
                <w:rFonts w:ascii="宋体" w:eastAsia="宋体"/>
                <w:color w:val="auto"/>
                <w:sz w:val="24"/>
                <w:highlight w:val="none"/>
              </w:rPr>
            </w:pPr>
            <w:r>
              <w:rPr>
                <w:rStyle w:val="16"/>
                <w:rFonts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1</w:t>
            </w:r>
            <w:r>
              <w:rPr>
                <w:rStyle w:val="16"/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7</w:t>
            </w:r>
          </w:p>
        </w:tc>
        <w:tc>
          <w:tcPr>
            <w:tcW w:w="631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A9C6E3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rPr>
                <w:rFonts w:ascii="宋体" w:eastAsia="宋体"/>
                <w:color w:val="auto"/>
                <w:sz w:val="24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1</w:t>
            </w:r>
          </w:p>
        </w:tc>
        <w:tc>
          <w:tcPr>
            <w:tcW w:w="1590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2D937B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rPr>
                <w:rFonts w:ascii="宋体" w:eastAsia="宋体"/>
                <w:color w:val="auto"/>
                <w:sz w:val="24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档案管理</w:t>
            </w:r>
          </w:p>
        </w:tc>
        <w:tc>
          <w:tcPr>
            <w:tcW w:w="2790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140C7E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rPr>
                <w:rFonts w:ascii="宋体" w:eastAsia="宋体"/>
                <w:color w:val="auto"/>
                <w:sz w:val="24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档案完整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，</w:t>
            </w:r>
            <w:r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专人管理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，</w:t>
            </w:r>
            <w:r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可追溯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。</w:t>
            </w:r>
          </w:p>
        </w:tc>
        <w:tc>
          <w:tcPr>
            <w:tcW w:w="631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33E22B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rPr>
                <w:rFonts w:ascii="宋体" w:eastAsia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5</w:t>
            </w:r>
          </w:p>
        </w:tc>
        <w:tc>
          <w:tcPr>
            <w:tcW w:w="1794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DF3B63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rPr>
                <w:rFonts w:ascii="宋体" w:eastAsia="宋体"/>
                <w:color w:val="auto"/>
                <w:sz w:val="24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档案目录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，</w:t>
            </w:r>
            <w:r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归档资料</w:t>
            </w:r>
          </w:p>
        </w:tc>
      </w:tr>
      <w:tr w14:paraId="43EA9A4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  <w:jc w:val="center"/>
        </w:trPr>
        <w:tc>
          <w:tcPr>
            <w:tcW w:w="1232" w:type="dxa"/>
            <w:vMerge w:val="continue"/>
            <w:tcBorders>
              <w:left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D3E8A12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eastAsia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31" w:type="dxa"/>
            <w:vMerge w:val="continue"/>
            <w:tcBorders>
              <w:left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0891F9E">
            <w:pPr>
              <w:snapToGrid w:val="0"/>
              <w:ind w:left="0" w:leftChars="0" w:right="0" w:rightChars="0" w:firstLine="0" w:firstLineChars="0"/>
              <w:jc w:val="right"/>
              <w:rPr>
                <w:rFonts w:hint="eastAsia" w:ascii="宋体" w:eastAsia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31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EDB7DF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rPr>
                <w:rFonts w:ascii="宋体" w:eastAsia="宋体"/>
                <w:color w:val="auto"/>
                <w:sz w:val="24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2</w:t>
            </w:r>
          </w:p>
        </w:tc>
        <w:tc>
          <w:tcPr>
            <w:tcW w:w="1590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6AA00D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rPr>
                <w:rFonts w:ascii="宋体" w:eastAsia="宋体"/>
                <w:color w:val="auto"/>
                <w:sz w:val="24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安全管理</w:t>
            </w:r>
          </w:p>
        </w:tc>
        <w:tc>
          <w:tcPr>
            <w:tcW w:w="2790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6F82FD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rPr>
                <w:rFonts w:ascii="宋体" w:eastAsia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安全工作方案</w:t>
            </w:r>
            <w:r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完整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（含应急预案），教育</w:t>
            </w:r>
            <w:r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全覆盖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。</w:t>
            </w:r>
            <w:r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隐患排查到位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。</w:t>
            </w:r>
          </w:p>
        </w:tc>
        <w:tc>
          <w:tcPr>
            <w:tcW w:w="631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2D5766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rPr>
                <w:rFonts w:ascii="宋体" w:eastAsia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5</w:t>
            </w:r>
          </w:p>
        </w:tc>
        <w:tc>
          <w:tcPr>
            <w:tcW w:w="1794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51E2F0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rPr>
                <w:rFonts w:ascii="宋体" w:eastAsia="宋体"/>
                <w:color w:val="auto"/>
                <w:sz w:val="24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安全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工作</w:t>
            </w:r>
            <w:r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方案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，</w:t>
            </w:r>
            <w:r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隐患排查表</w:t>
            </w:r>
          </w:p>
        </w:tc>
      </w:tr>
      <w:tr w14:paraId="1AA8E83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  <w:jc w:val="center"/>
        </w:trPr>
        <w:tc>
          <w:tcPr>
            <w:tcW w:w="1232" w:type="dxa"/>
            <w:vMerge w:val="continue"/>
            <w:tcBorders>
              <w:left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03EB35A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eastAsia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31" w:type="dxa"/>
            <w:vMerge w:val="continue"/>
            <w:tcBorders>
              <w:left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79D7E6E">
            <w:pPr>
              <w:snapToGrid w:val="0"/>
              <w:ind w:left="0" w:leftChars="0" w:right="0" w:rightChars="0" w:firstLine="0" w:firstLineChars="0"/>
              <w:jc w:val="right"/>
              <w:rPr>
                <w:rFonts w:hint="eastAsia" w:ascii="宋体" w:eastAsia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31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F7B7AF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rPr>
                <w:rFonts w:ascii="宋体" w:eastAsia="宋体"/>
                <w:color w:val="auto"/>
                <w:sz w:val="24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3</w:t>
            </w:r>
          </w:p>
        </w:tc>
        <w:tc>
          <w:tcPr>
            <w:tcW w:w="1590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E58C07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rPr>
                <w:rFonts w:ascii="宋体" w:eastAsia="宋体"/>
                <w:color w:val="auto"/>
                <w:sz w:val="24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经费使用</w:t>
            </w:r>
          </w:p>
        </w:tc>
        <w:tc>
          <w:tcPr>
            <w:tcW w:w="2790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BDEE5B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rPr>
                <w:rFonts w:ascii="宋体" w:eastAsia="宋体"/>
                <w:color w:val="auto"/>
                <w:sz w:val="24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专款专用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，</w:t>
            </w:r>
            <w:r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记录合规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。</w:t>
            </w:r>
          </w:p>
        </w:tc>
        <w:tc>
          <w:tcPr>
            <w:tcW w:w="631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8BFE56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rPr>
                <w:rFonts w:ascii="宋体" w:eastAsia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4</w:t>
            </w:r>
          </w:p>
        </w:tc>
        <w:tc>
          <w:tcPr>
            <w:tcW w:w="1794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ED1CE5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rPr>
                <w:rFonts w:ascii="宋体" w:eastAsia="宋体"/>
                <w:color w:val="auto"/>
                <w:sz w:val="24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经费明细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，</w:t>
            </w:r>
            <w:r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使用报告</w:t>
            </w:r>
          </w:p>
        </w:tc>
      </w:tr>
      <w:tr w14:paraId="653A34C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  <w:jc w:val="center"/>
        </w:trPr>
        <w:tc>
          <w:tcPr>
            <w:tcW w:w="1232" w:type="dxa"/>
            <w:vMerge w:val="continue"/>
            <w:tcBorders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1BF00B0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eastAsia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31" w:type="dxa"/>
            <w:vMerge w:val="continue"/>
            <w:tcBorders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736ABF5">
            <w:pPr>
              <w:snapToGrid w:val="0"/>
              <w:ind w:left="0" w:leftChars="0" w:right="0" w:rightChars="0" w:firstLine="0" w:firstLineChars="0"/>
              <w:jc w:val="right"/>
              <w:rPr>
                <w:rFonts w:hint="eastAsia" w:ascii="宋体" w:eastAsia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31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B71564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rPr>
                <w:rFonts w:ascii="宋体" w:eastAsia="宋体"/>
                <w:color w:val="auto"/>
                <w:sz w:val="24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4</w:t>
            </w:r>
          </w:p>
        </w:tc>
        <w:tc>
          <w:tcPr>
            <w:tcW w:w="1590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B90C1E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rPr>
                <w:rFonts w:ascii="宋体" w:eastAsia="宋体"/>
                <w:color w:val="auto"/>
                <w:sz w:val="24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实习就业衔接</w:t>
            </w:r>
          </w:p>
        </w:tc>
        <w:tc>
          <w:tcPr>
            <w:tcW w:w="2790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C38B21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rPr>
                <w:rFonts w:ascii="宋体" w:eastAsia="宋体"/>
                <w:color w:val="auto"/>
                <w:sz w:val="24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基地就业率≥10% 或为重要渠道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。</w:t>
            </w:r>
          </w:p>
        </w:tc>
        <w:tc>
          <w:tcPr>
            <w:tcW w:w="631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02CD72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rPr>
                <w:rFonts w:ascii="宋体" w:eastAsia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3</w:t>
            </w:r>
          </w:p>
        </w:tc>
        <w:tc>
          <w:tcPr>
            <w:tcW w:w="1794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FC5B02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rPr>
                <w:rFonts w:ascii="宋体" w:eastAsia="宋体"/>
                <w:color w:val="auto"/>
                <w:sz w:val="24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就业统计表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，</w:t>
            </w:r>
            <w:r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录用证明</w:t>
            </w:r>
          </w:p>
        </w:tc>
      </w:tr>
      <w:tr w14:paraId="160AB49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  <w:jc w:val="center"/>
        </w:trPr>
        <w:tc>
          <w:tcPr>
            <w:tcW w:w="1232" w:type="dxa"/>
            <w:vMerge w:val="restart"/>
            <w:tcBorders>
              <w:left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7C3374E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eastAsia="宋体"/>
                <w:color w:val="auto"/>
                <w:sz w:val="24"/>
                <w:szCs w:val="24"/>
                <w:highlight w:val="none"/>
              </w:rPr>
            </w:pPr>
            <w:r>
              <w:rPr>
                <w:rStyle w:val="16"/>
                <w:rFonts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示范引领与特色</w:t>
            </w:r>
          </w:p>
        </w:tc>
        <w:tc>
          <w:tcPr>
            <w:tcW w:w="631" w:type="dxa"/>
            <w:vMerge w:val="restart"/>
            <w:tcBorders>
              <w:left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247812E">
            <w:pPr>
              <w:snapToGrid w:val="0"/>
              <w:ind w:left="0" w:leftChars="0" w:right="0" w:rightChars="0" w:firstLine="0" w:firstLineChars="0"/>
              <w:jc w:val="right"/>
              <w:rPr>
                <w:rFonts w:hint="eastAsia" w:ascii="宋体" w:eastAsia="宋体"/>
                <w:color w:val="auto"/>
                <w:sz w:val="24"/>
                <w:szCs w:val="24"/>
                <w:highlight w:val="none"/>
              </w:rPr>
            </w:pPr>
            <w:r>
              <w:rPr>
                <w:rStyle w:val="16"/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8</w:t>
            </w:r>
          </w:p>
        </w:tc>
        <w:tc>
          <w:tcPr>
            <w:tcW w:w="631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93DB0E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rPr>
                <w:rFonts w:ascii="宋体" w:eastAsia="宋体" w:hAnsiTheme="minorHAnsi" w:cstheme="minorBidi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1</w:t>
            </w:r>
          </w:p>
        </w:tc>
        <w:tc>
          <w:tcPr>
            <w:tcW w:w="1590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DD3E23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rPr>
                <w:rFonts w:ascii="宋体" w:eastAsia="宋体" w:hAnsiTheme="minorHAnsi" w:cstheme="minorBidi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校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内</w:t>
            </w:r>
            <w:r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外交流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宣传</w:t>
            </w:r>
          </w:p>
        </w:tc>
        <w:tc>
          <w:tcPr>
            <w:tcW w:w="2790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EE64D5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rPr>
                <w:rFonts w:ascii="宋体" w:eastAsia="宋体" w:hAnsiTheme="minorHAnsi" w:cstheme="minorBidi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校级及以上交流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，宣传。</w:t>
            </w:r>
          </w:p>
        </w:tc>
        <w:tc>
          <w:tcPr>
            <w:tcW w:w="631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623E57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rPr>
                <w:rFonts w:hint="eastAsia" w:ascii="宋体" w:eastAsia="宋体" w:hAnsiTheme="minorHAnsi" w:cstheme="minorBidi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4</w:t>
            </w:r>
          </w:p>
        </w:tc>
        <w:tc>
          <w:tcPr>
            <w:tcW w:w="1794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30C35B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rPr>
                <w:rFonts w:ascii="宋体" w:eastAsia="宋体" w:hAnsiTheme="minorHAnsi" w:cstheme="minorBidi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活动材料、表彰证书、宣传资料</w:t>
            </w:r>
          </w:p>
        </w:tc>
      </w:tr>
      <w:tr w14:paraId="429BE1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  <w:jc w:val="center"/>
        </w:trPr>
        <w:tc>
          <w:tcPr>
            <w:tcW w:w="1232" w:type="dxa"/>
            <w:vMerge w:val="continue"/>
            <w:tcBorders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797349C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eastAsia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31" w:type="dxa"/>
            <w:vMerge w:val="continue"/>
            <w:tcBorders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517C975">
            <w:pPr>
              <w:snapToGrid w:val="0"/>
              <w:ind w:left="0" w:leftChars="0" w:right="0" w:rightChars="0" w:firstLine="0" w:firstLineChars="0"/>
              <w:jc w:val="right"/>
              <w:rPr>
                <w:rFonts w:hint="eastAsia" w:ascii="宋体" w:eastAsia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31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54EA4B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rPr>
                <w:rFonts w:ascii="宋体" w:eastAsia="宋体" w:hAnsiTheme="minorHAnsi" w:cstheme="minorBidi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2</w:t>
            </w:r>
          </w:p>
        </w:tc>
        <w:tc>
          <w:tcPr>
            <w:tcW w:w="1590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5A7C4C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rPr>
                <w:rFonts w:ascii="宋体" w:eastAsia="宋体" w:hAnsiTheme="minorHAnsi" w:cstheme="minorBidi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建设特色与创新</w:t>
            </w:r>
          </w:p>
        </w:tc>
        <w:tc>
          <w:tcPr>
            <w:tcW w:w="2790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3D32BA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rPr>
                <w:rFonts w:ascii="宋体" w:eastAsia="宋体" w:hAnsiTheme="minorHAnsi" w:cstheme="minorBidi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有特色创新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。</w:t>
            </w:r>
          </w:p>
        </w:tc>
        <w:tc>
          <w:tcPr>
            <w:tcW w:w="631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4B8D0A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rPr>
                <w:rFonts w:hint="eastAsia" w:ascii="宋体" w:eastAsia="宋体" w:hAnsiTheme="minorHAnsi" w:cstheme="minorBidi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4</w:t>
            </w:r>
          </w:p>
        </w:tc>
        <w:tc>
          <w:tcPr>
            <w:tcW w:w="1794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D18475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rPr>
                <w:rFonts w:ascii="宋体" w:eastAsia="宋体" w:hAnsiTheme="minorHAnsi" w:cstheme="minorBidi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特色做法、实践成果、反馈意见</w:t>
            </w:r>
          </w:p>
        </w:tc>
      </w:tr>
      <w:tr w14:paraId="7F3DD1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  <w:jc w:val="center"/>
        </w:trPr>
        <w:tc>
          <w:tcPr>
            <w:tcW w:w="1232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123ECD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rPr>
                <w:rFonts w:ascii="宋体" w:eastAsia="宋体"/>
                <w:b/>
                <w:color w:val="auto"/>
                <w:sz w:val="24"/>
                <w:highlight w:val="none"/>
              </w:rPr>
            </w:pPr>
            <w:r>
              <w:rPr>
                <w:rStyle w:val="16"/>
                <w:rFonts w:ascii="宋体" w:hAnsi="宋体" w:eastAsia="宋体" w:cs="宋体"/>
                <w:b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总分</w:t>
            </w:r>
          </w:p>
        </w:tc>
        <w:tc>
          <w:tcPr>
            <w:tcW w:w="631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CF31D5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rPr>
                <w:rFonts w:ascii="宋体" w:eastAsia="宋体"/>
                <w:b/>
                <w:color w:val="auto"/>
                <w:sz w:val="24"/>
                <w:highlight w:val="none"/>
              </w:rPr>
            </w:pPr>
            <w:r>
              <w:rPr>
                <w:rStyle w:val="16"/>
                <w:rFonts w:ascii="宋体" w:hAnsi="宋体" w:eastAsia="宋体" w:cs="宋体"/>
                <w:b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100</w:t>
            </w:r>
          </w:p>
        </w:tc>
        <w:tc>
          <w:tcPr>
            <w:tcW w:w="631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874427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rPr>
                <w:rFonts w:ascii="宋体" w:eastAsia="宋体"/>
                <w:b/>
                <w:color w:val="auto"/>
                <w:sz w:val="24"/>
                <w:highlight w:val="none"/>
              </w:rPr>
            </w:pPr>
          </w:p>
        </w:tc>
        <w:tc>
          <w:tcPr>
            <w:tcW w:w="1590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BB1170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rPr>
                <w:rFonts w:ascii="宋体" w:eastAsia="宋体"/>
                <w:b/>
                <w:color w:val="auto"/>
                <w:sz w:val="24"/>
                <w:highlight w:val="none"/>
              </w:rPr>
            </w:pPr>
          </w:p>
        </w:tc>
        <w:tc>
          <w:tcPr>
            <w:tcW w:w="2790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173DFC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rPr>
                <w:rFonts w:ascii="宋体" w:eastAsia="宋体"/>
                <w:b/>
                <w:color w:val="auto"/>
                <w:sz w:val="24"/>
                <w:highlight w:val="none"/>
              </w:rPr>
            </w:pPr>
          </w:p>
        </w:tc>
        <w:tc>
          <w:tcPr>
            <w:tcW w:w="631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0736E0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rPr>
                <w:rFonts w:ascii="宋体" w:eastAsia="宋体"/>
                <w:b/>
                <w:color w:val="auto"/>
                <w:sz w:val="24"/>
                <w:highlight w:val="none"/>
              </w:rPr>
            </w:pPr>
            <w:r>
              <w:rPr>
                <w:rStyle w:val="16"/>
                <w:rFonts w:ascii="宋体" w:hAnsi="宋体" w:eastAsia="宋体" w:cs="宋体"/>
                <w:b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100</w:t>
            </w:r>
          </w:p>
        </w:tc>
        <w:tc>
          <w:tcPr>
            <w:tcW w:w="1794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CF2FA1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rPr>
                <w:rFonts w:ascii="宋体" w:eastAsia="宋体"/>
                <w:b/>
                <w:color w:val="auto"/>
                <w:sz w:val="24"/>
                <w:highlight w:val="none"/>
              </w:rPr>
            </w:pPr>
          </w:p>
        </w:tc>
      </w:tr>
    </w:tbl>
    <w:p w14:paraId="5CA58228">
      <w:pPr>
        <w:rPr>
          <w:color w:val="auto"/>
          <w:highlight w:val="none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14CDDFA"/>
    <w:multiLevelType w:val="singleLevel"/>
    <w:tmpl w:val="C14CDDFA"/>
    <w:lvl w:ilvl="0" w:tentative="0">
      <w:start w:val="1"/>
      <w:numFmt w:val="decimal"/>
      <w:suff w:val="space"/>
      <w:lvlText w:val="%1."/>
      <w:lvlJc w:val="left"/>
      <w:pPr>
        <w:ind w:left="0" w:firstLine="616"/>
      </w:pPr>
      <w:rPr>
        <w:rFonts w:hint="default"/>
      </w:rPr>
    </w:lvl>
  </w:abstractNum>
  <w:abstractNum w:abstractNumId="1">
    <w:nsid w:val="D798D74C"/>
    <w:multiLevelType w:val="singleLevel"/>
    <w:tmpl w:val="D798D74C"/>
    <w:lvl w:ilvl="0" w:tentative="0">
      <w:start w:val="1"/>
      <w:numFmt w:val="chineseCounting"/>
      <w:suff w:val="nothing"/>
      <w:lvlText w:val="%1、"/>
      <w:lvlJc w:val="left"/>
      <w:pPr>
        <w:ind w:left="0" w:firstLine="640"/>
      </w:pPr>
      <w:rPr>
        <w:rFonts w:hint="eastAsia"/>
      </w:rPr>
    </w:lvl>
  </w:abstractNum>
  <w:abstractNum w:abstractNumId="2">
    <w:nsid w:val="10D4DC0F"/>
    <w:multiLevelType w:val="singleLevel"/>
    <w:tmpl w:val="10D4DC0F"/>
    <w:lvl w:ilvl="0" w:tentative="0">
      <w:start w:val="1"/>
      <w:numFmt w:val="decimal"/>
      <w:suff w:val="space"/>
      <w:lvlText w:val="%1."/>
      <w:lvlJc w:val="left"/>
      <w:pPr>
        <w:ind w:left="0" w:firstLine="616"/>
      </w:pPr>
      <w:rPr>
        <w:rFonts w:hint="default"/>
      </w:rPr>
    </w:lvl>
  </w:abstractNum>
  <w:abstractNum w:abstractNumId="3">
    <w:nsid w:val="5A8098AF"/>
    <w:multiLevelType w:val="singleLevel"/>
    <w:tmpl w:val="5A8098AF"/>
    <w:lvl w:ilvl="0" w:tentative="0">
      <w:start w:val="1"/>
      <w:numFmt w:val="decimal"/>
      <w:suff w:val="space"/>
      <w:lvlText w:val="%1."/>
      <w:lvlJc w:val="left"/>
      <w:pPr>
        <w:ind w:left="0" w:firstLine="616"/>
      </w:pPr>
      <w:rPr>
        <w:rFonts w:hint="default"/>
      </w:rPr>
    </w:lvl>
  </w:abstractNum>
  <w:abstractNum w:abstractNumId="4">
    <w:nsid w:val="68EA7A03"/>
    <w:multiLevelType w:val="singleLevel"/>
    <w:tmpl w:val="68EA7A03"/>
    <w:lvl w:ilvl="0" w:tentative="0">
      <w:start w:val="1"/>
      <w:numFmt w:val="decimal"/>
      <w:suff w:val="space"/>
      <w:lvlText w:val="%1."/>
      <w:lvlJc w:val="left"/>
      <w:pPr>
        <w:ind w:left="0" w:firstLine="616"/>
      </w:pPr>
      <w:rPr>
        <w:rFonts w:hint="default"/>
      </w:rPr>
    </w:lvl>
  </w:abstractNum>
  <w:abstractNum w:abstractNumId="5">
    <w:nsid w:val="71558B02"/>
    <w:multiLevelType w:val="singleLevel"/>
    <w:tmpl w:val="71558B02"/>
    <w:lvl w:ilvl="0" w:tentative="0">
      <w:start w:val="1"/>
      <w:numFmt w:val="decimal"/>
      <w:suff w:val="space"/>
      <w:lvlText w:val="%1."/>
      <w:lvlJc w:val="left"/>
      <w:pPr>
        <w:ind w:left="0" w:firstLine="616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4"/>
  </w:num>
  <w:num w:numId="5">
    <w:abstractNumId w:val="0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4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EF2015"/>
    <w:rsid w:val="044C0F82"/>
    <w:rsid w:val="076B1CFB"/>
    <w:rsid w:val="095F7893"/>
    <w:rsid w:val="107C0AD5"/>
    <w:rsid w:val="11A71B81"/>
    <w:rsid w:val="138008DC"/>
    <w:rsid w:val="19C203CC"/>
    <w:rsid w:val="1E0D4C43"/>
    <w:rsid w:val="2EC95F8C"/>
    <w:rsid w:val="34AB1664"/>
    <w:rsid w:val="36F367DF"/>
    <w:rsid w:val="3ECF65CB"/>
    <w:rsid w:val="534E1882"/>
    <w:rsid w:val="64491983"/>
    <w:rsid w:val="651E1380"/>
    <w:rsid w:val="74006A87"/>
    <w:rsid w:val="76E34885"/>
    <w:rsid w:val="772F63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next w:val="1"/>
    <w:qFormat/>
    <w:uiPriority w:val="0"/>
    <w:pPr>
      <w:keepNext/>
      <w:keepLines/>
      <w:widowControl/>
      <w:topLinePunct w:val="0"/>
      <w:spacing w:beforeLines="0" w:beforeAutospacing="0" w:afterLines="0" w:afterAutospacing="0" w:line="560" w:lineRule="exact"/>
      <w:ind w:left="0" w:leftChars="0" w:firstLine="640" w:firstLineChars="0"/>
      <w:outlineLvl w:val="0"/>
    </w:pPr>
    <w:rPr>
      <w:rFonts w:ascii="黑体" w:hAnsi="黑体" w:eastAsia="黑体" w:cs="黑体"/>
      <w:kern w:val="44"/>
      <w:sz w:val="32"/>
      <w:szCs w:val="32"/>
    </w:rPr>
  </w:style>
  <w:style w:type="paragraph" w:styleId="3">
    <w:name w:val="heading 2"/>
    <w:next w:val="1"/>
    <w:unhideWhenUsed/>
    <w:qFormat/>
    <w:uiPriority w:val="0"/>
    <w:pPr>
      <w:keepNext/>
      <w:keepLines/>
      <w:widowControl/>
      <w:topLinePunct w:val="0"/>
      <w:spacing w:beforeLines="0" w:beforeAutospacing="0" w:afterLines="0" w:afterAutospacing="0" w:line="560" w:lineRule="exact"/>
      <w:ind w:left="0" w:leftChars="0" w:firstLine="640" w:firstLineChars="0"/>
      <w:outlineLvl w:val="1"/>
    </w:pPr>
    <w:rPr>
      <w:rFonts w:ascii="Times New Roman" w:hAnsi="Times New Roman" w:eastAsia="楷体_GB2312" w:cs="楷体_GB2312"/>
      <w:sz w:val="32"/>
      <w:szCs w:val="32"/>
    </w:rPr>
  </w:style>
  <w:style w:type="paragraph" w:styleId="4">
    <w:name w:val="heading 3"/>
    <w:next w:val="1"/>
    <w:semiHidden/>
    <w:unhideWhenUsed/>
    <w:qFormat/>
    <w:uiPriority w:val="0"/>
    <w:pPr>
      <w:keepNext/>
      <w:keepLines/>
      <w:widowControl w:val="0"/>
      <w:adjustRightInd w:val="0"/>
      <w:spacing w:before="100" w:after="100" w:line="360" w:lineRule="auto"/>
      <w:jc w:val="both"/>
      <w:outlineLvl w:val="2"/>
    </w:pPr>
    <w:rPr>
      <w:rFonts w:ascii="Times New Roman" w:hAnsi="Times New Roman" w:eastAsia="宋体" w:cs="Times New Roman"/>
      <w:b/>
      <w:kern w:val="2"/>
      <w:sz w:val="30"/>
      <w:szCs w:val="24"/>
      <w:lang w:bidi="ar-SA"/>
    </w:rPr>
  </w:style>
  <w:style w:type="paragraph" w:styleId="5">
    <w:name w:val="heading 4"/>
    <w:next w:val="1"/>
    <w:semiHidden/>
    <w:unhideWhenUsed/>
    <w:qFormat/>
    <w:uiPriority w:val="0"/>
    <w:pPr>
      <w:keepNext/>
      <w:keepLines/>
      <w:widowControl w:val="0"/>
      <w:adjustRightInd w:val="0"/>
      <w:spacing w:before="100" w:after="100" w:line="360" w:lineRule="auto"/>
      <w:jc w:val="both"/>
      <w:outlineLvl w:val="3"/>
    </w:pPr>
    <w:rPr>
      <w:rFonts w:ascii="Times New Roman" w:hAnsi="Times New Roman" w:eastAsia="宋体" w:cs="Times New Roman"/>
      <w:b/>
      <w:bCs/>
      <w:kern w:val="2"/>
      <w:sz w:val="28"/>
      <w:szCs w:val="28"/>
      <w:lang w:bidi="ar-SA"/>
    </w:rPr>
  </w:style>
  <w:style w:type="paragraph" w:styleId="6">
    <w:name w:val="heading 5"/>
    <w:next w:val="1"/>
    <w:semiHidden/>
    <w:unhideWhenUsed/>
    <w:qFormat/>
    <w:uiPriority w:val="0"/>
    <w:pPr>
      <w:keepNext/>
      <w:keepLines/>
      <w:widowControl w:val="0"/>
      <w:adjustRightInd w:val="0"/>
      <w:spacing w:before="100" w:after="100" w:line="360" w:lineRule="auto"/>
      <w:jc w:val="both"/>
      <w:outlineLvl w:val="4"/>
    </w:pPr>
    <w:rPr>
      <w:rFonts w:ascii="Times New Roman" w:hAnsi="Times New Roman" w:eastAsia="宋体" w:cs="Times New Roman"/>
      <w:b/>
      <w:bCs/>
      <w:kern w:val="2"/>
      <w:sz w:val="28"/>
      <w:szCs w:val="28"/>
      <w:lang w:bidi="ar-SA"/>
    </w:rPr>
  </w:style>
  <w:style w:type="paragraph" w:styleId="7">
    <w:name w:val="heading 6"/>
    <w:next w:val="1"/>
    <w:semiHidden/>
    <w:unhideWhenUsed/>
    <w:qFormat/>
    <w:uiPriority w:val="0"/>
    <w:pPr>
      <w:keepNext/>
      <w:keepLines/>
      <w:widowControl w:val="0"/>
      <w:adjustRightInd w:val="0"/>
      <w:spacing w:before="100" w:after="100" w:line="360" w:lineRule="auto"/>
      <w:jc w:val="both"/>
      <w:outlineLvl w:val="5"/>
    </w:pPr>
    <w:rPr>
      <w:rFonts w:ascii="Times New Roman" w:hAnsi="Times New Roman" w:eastAsia="宋体" w:cs="Times New Roman"/>
      <w:b/>
      <w:bCs/>
      <w:kern w:val="2"/>
      <w:sz w:val="28"/>
      <w:szCs w:val="24"/>
      <w:lang w:bidi="ar-SA"/>
    </w:rPr>
  </w:style>
  <w:style w:type="paragraph" w:styleId="8">
    <w:name w:val="heading 7"/>
    <w:next w:val="1"/>
    <w:semiHidden/>
    <w:unhideWhenUsed/>
    <w:qFormat/>
    <w:uiPriority w:val="0"/>
    <w:pPr>
      <w:keepNext/>
      <w:keepLines/>
      <w:widowControl w:val="0"/>
      <w:adjustRightInd w:val="0"/>
      <w:spacing w:before="100" w:after="100" w:line="360" w:lineRule="auto"/>
      <w:jc w:val="both"/>
      <w:outlineLvl w:val="6"/>
    </w:pPr>
    <w:rPr>
      <w:rFonts w:ascii="Times New Roman" w:hAnsi="Times New Roman" w:eastAsia="宋体" w:cs="Times New Roman"/>
      <w:b/>
      <w:bCs/>
      <w:kern w:val="2"/>
      <w:sz w:val="24"/>
      <w:szCs w:val="24"/>
      <w:lang w:bidi="ar-SA"/>
    </w:rPr>
  </w:style>
  <w:style w:type="paragraph" w:styleId="9">
    <w:name w:val="heading 8"/>
    <w:next w:val="1"/>
    <w:semiHidden/>
    <w:unhideWhenUsed/>
    <w:qFormat/>
    <w:uiPriority w:val="0"/>
    <w:pPr>
      <w:keepNext/>
      <w:keepLines/>
      <w:widowControl w:val="0"/>
      <w:adjustRightInd w:val="0"/>
      <w:spacing w:before="100" w:after="100" w:line="360" w:lineRule="auto"/>
      <w:jc w:val="both"/>
      <w:outlineLvl w:val="7"/>
    </w:pPr>
    <w:rPr>
      <w:rFonts w:ascii="Times New Roman" w:hAnsi="Times New Roman" w:eastAsia="宋体" w:cs="Times New Roman"/>
      <w:b/>
      <w:kern w:val="2"/>
      <w:sz w:val="24"/>
      <w:szCs w:val="24"/>
      <w:lang w:bidi="ar-SA"/>
    </w:rPr>
  </w:style>
  <w:style w:type="paragraph" w:styleId="10">
    <w:name w:val="heading 9"/>
    <w:next w:val="1"/>
    <w:semiHidden/>
    <w:unhideWhenUsed/>
    <w:qFormat/>
    <w:uiPriority w:val="0"/>
    <w:pPr>
      <w:keepNext/>
      <w:keepLines/>
      <w:widowControl w:val="0"/>
      <w:adjustRightInd w:val="0"/>
      <w:spacing w:before="100" w:after="100" w:line="360" w:lineRule="auto"/>
      <w:jc w:val="both"/>
      <w:outlineLvl w:val="8"/>
    </w:pPr>
    <w:rPr>
      <w:rFonts w:ascii="Times New Roman" w:hAnsi="Times New Roman" w:eastAsia="宋体" w:cs="Times New Roman"/>
      <w:b/>
      <w:kern w:val="2"/>
      <w:sz w:val="21"/>
      <w:szCs w:val="21"/>
      <w:lang w:bidi="ar-SA"/>
    </w:rPr>
  </w:style>
  <w:style w:type="character" w:default="1" w:styleId="15">
    <w:name w:val="Default Paragraph Font"/>
    <w:semiHidden/>
    <w:qFormat/>
    <w:uiPriority w:val="0"/>
  </w:style>
  <w:style w:type="table" w:default="1" w:styleId="1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Body Text"/>
    <w:qFormat/>
    <w:uiPriority w:val="0"/>
    <w:pPr>
      <w:widowControl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topLinePunct w:val="0"/>
      <w:spacing w:line="560" w:lineRule="exact"/>
      <w:ind w:firstLine="616" w:firstLineChars="200"/>
      <w:jc w:val="both"/>
      <w:outlineLvl w:val="9"/>
    </w:pPr>
    <w:rPr>
      <w:rFonts w:ascii="Times New Roman" w:hAnsi="Calibri" w:eastAsia="仿宋_GB2312" w:cs="Times New Roman"/>
      <w:spacing w:val="-6"/>
      <w:sz w:val="32"/>
    </w:rPr>
  </w:style>
  <w:style w:type="paragraph" w:styleId="12">
    <w:name w:val="Subtitle"/>
    <w:qFormat/>
    <w:uiPriority w:val="0"/>
    <w:pPr>
      <w:widowControl w:val="0"/>
      <w:adjustRightInd w:val="0"/>
      <w:spacing w:before="100" w:after="100" w:line="240" w:lineRule="auto"/>
      <w:jc w:val="center"/>
      <w:outlineLvl w:val="9"/>
    </w:pPr>
    <w:rPr>
      <w:rFonts w:ascii="Times New Roman" w:hAnsi="Times New Roman" w:eastAsia="黑体" w:cs="Times New Roman"/>
      <w:b/>
      <w:kern w:val="28"/>
      <w:sz w:val="32"/>
      <w:szCs w:val="24"/>
      <w:lang w:bidi="ar-SA"/>
    </w:rPr>
  </w:style>
  <w:style w:type="paragraph" w:styleId="13">
    <w:name w:val="Title"/>
    <w:qFormat/>
    <w:uiPriority w:val="0"/>
    <w:pPr>
      <w:widowControl/>
      <w:spacing w:line="720" w:lineRule="exact"/>
      <w:jc w:val="center"/>
      <w:outlineLvl w:val="9"/>
    </w:pPr>
    <w:rPr>
      <w:rFonts w:ascii="方正小标宋简体" w:hAnsi="方正小标宋简体" w:eastAsia="方正小标宋简体" w:cs="方正小标宋简体"/>
      <w:sz w:val="44"/>
      <w:szCs w:val="44"/>
    </w:rPr>
  </w:style>
  <w:style w:type="character" w:styleId="16">
    <w:name w:val="Strong"/>
    <w:basedOn w:val="15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2109</Words>
  <Characters>2142</Characters>
  <Lines>0</Lines>
  <Paragraphs>0</Paragraphs>
  <TotalTime>954</TotalTime>
  <ScaleCrop>false</ScaleCrop>
  <LinksUpToDate>false</LinksUpToDate>
  <CharactersWithSpaces>2168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2026-04-13T07:38:00Z</dcterms:created>
  <dc:creator>X</dc:creator>
  <cp:lastModifiedBy>龙猫</cp:lastModifiedBy>
  <dcterms:modified xsi:type="dcterms:W3CDTF">2026-04-28T02:44:59Z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KSOTemplateDocerSaveRecord">
    <vt:lpwstr>eyJoZGlkIjoiYzQ0MTk4MTU2Yzg1MDBmYzA4Mjc4ZmE3MGE5NmY4ZjciLCJ1c2VySWQiOiIyOTQwNDA1NjcifQ==</vt:lpwstr>
  </property>
  <property fmtid="{D5CDD505-2E9C-101B-9397-08002B2CF9AE}" pid="4" name="ICV">
    <vt:lpwstr>EFD407783C214A1C84922E073F0B70E8_12</vt:lpwstr>
  </property>
</Properties>
</file>